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C480" w14:textId="77777777" w:rsidR="00BB73B7" w:rsidRPr="00CB24F5" w:rsidRDefault="00BB73B7" w:rsidP="00BB73B7">
      <w:pPr>
        <w:rPr>
          <w:rFonts w:cstheme="minorHAnsi"/>
          <w:b/>
          <w:sz w:val="24"/>
          <w:szCs w:val="24"/>
        </w:rPr>
      </w:pPr>
      <w:r w:rsidRPr="00CB24F5">
        <w:rPr>
          <w:rFonts w:cstheme="minorHAnsi"/>
          <w:b/>
          <w:sz w:val="24"/>
          <w:szCs w:val="24"/>
        </w:rPr>
        <w:t xml:space="preserve">Pathogenicity of </w:t>
      </w:r>
      <w:r w:rsidRPr="00CB24F5">
        <w:rPr>
          <w:rFonts w:cstheme="minorHAnsi"/>
          <w:b/>
          <w:i/>
          <w:iCs/>
          <w:sz w:val="24"/>
          <w:szCs w:val="24"/>
        </w:rPr>
        <w:t>Fusarium</w:t>
      </w:r>
      <w:r w:rsidRPr="00CB24F5">
        <w:rPr>
          <w:rFonts w:cstheme="minorHAnsi"/>
          <w:b/>
          <w:i/>
          <w:sz w:val="24"/>
          <w:szCs w:val="24"/>
        </w:rPr>
        <w:t xml:space="preserve"> </w:t>
      </w:r>
      <w:proofErr w:type="spellStart"/>
      <w:r w:rsidRPr="00CB24F5">
        <w:rPr>
          <w:rFonts w:cstheme="minorHAnsi"/>
          <w:b/>
          <w:i/>
          <w:sz w:val="24"/>
          <w:szCs w:val="24"/>
        </w:rPr>
        <w:t>graminearum</w:t>
      </w:r>
      <w:proofErr w:type="spellEnd"/>
      <w:r w:rsidRPr="00CB24F5">
        <w:rPr>
          <w:rFonts w:cstheme="minorHAnsi"/>
          <w:b/>
          <w:sz w:val="24"/>
          <w:szCs w:val="24"/>
        </w:rPr>
        <w:t xml:space="preserve"> and </w:t>
      </w:r>
      <w:r w:rsidRPr="00CB24F5">
        <w:rPr>
          <w:rFonts w:cstheme="minorHAnsi"/>
          <w:b/>
          <w:i/>
          <w:sz w:val="24"/>
          <w:szCs w:val="24"/>
        </w:rPr>
        <w:t xml:space="preserve">F. </w:t>
      </w:r>
      <w:proofErr w:type="spellStart"/>
      <w:r w:rsidRPr="00CB24F5">
        <w:rPr>
          <w:rFonts w:cstheme="minorHAnsi"/>
          <w:b/>
          <w:i/>
          <w:sz w:val="24"/>
          <w:szCs w:val="24"/>
        </w:rPr>
        <w:t>poae</w:t>
      </w:r>
      <w:proofErr w:type="spellEnd"/>
      <w:r w:rsidRPr="00CB24F5">
        <w:rPr>
          <w:rFonts w:cstheme="minorHAnsi"/>
          <w:b/>
          <w:sz w:val="24"/>
          <w:szCs w:val="24"/>
        </w:rPr>
        <w:t xml:space="preserve"> Causing Fusarium Head Blight in Barley Under Controlled Conditions</w:t>
      </w:r>
    </w:p>
    <w:p w14:paraId="11E1CA89" w14:textId="77777777" w:rsidR="00BB73B7" w:rsidRPr="00CB24F5" w:rsidRDefault="00BB73B7" w:rsidP="00BB73B7">
      <w:pPr>
        <w:rPr>
          <w:rFonts w:cstheme="minorHAnsi"/>
          <w:i/>
          <w:sz w:val="24"/>
          <w:szCs w:val="24"/>
        </w:rPr>
      </w:pPr>
      <w:r w:rsidRPr="00CB24F5">
        <w:rPr>
          <w:rFonts w:cstheme="minorHAnsi"/>
          <w:caps/>
          <w:sz w:val="24"/>
          <w:szCs w:val="24"/>
        </w:rPr>
        <w:t>K. Hudson, L. J. Harris, D. P. Overy, A. Xue, A. Foster, R. Khanal</w:t>
      </w:r>
      <w:r w:rsidRPr="00CB24F5">
        <w:rPr>
          <w:rFonts w:cstheme="minorHAnsi"/>
          <w:i/>
          <w:sz w:val="24"/>
          <w:szCs w:val="24"/>
        </w:rPr>
        <w:t>. Ottawa Research and Development Centre, Agriculture and Agri-Food Canada, 960 Carling Ave, Ottawa, ON K1A 0C6, Canada; (A.F.) Charlottetown Research and Development Centre, Agriculture and Agri-Food Canada, 400 University Avenue, Charlottetown, PE C1A 4N6, Canada</w:t>
      </w:r>
    </w:p>
    <w:p w14:paraId="20203EE1" w14:textId="14FCF8F2" w:rsidR="00BE68B1" w:rsidRPr="00CB24F5" w:rsidRDefault="00BE68B1" w:rsidP="00BB73B7">
      <w:pPr>
        <w:rPr>
          <w:rFonts w:cstheme="minorHAnsi"/>
          <w:b/>
          <w:bCs/>
          <w:sz w:val="24"/>
          <w:szCs w:val="24"/>
        </w:rPr>
      </w:pPr>
      <w:r w:rsidRPr="00CB24F5">
        <w:rPr>
          <w:rFonts w:cstheme="minorHAnsi"/>
          <w:b/>
          <w:bCs/>
          <w:sz w:val="24"/>
          <w:szCs w:val="24"/>
        </w:rPr>
        <w:t>ABSTRACT</w:t>
      </w:r>
    </w:p>
    <w:p w14:paraId="1E23B53A" w14:textId="0C89DE42" w:rsidR="00BB73B7" w:rsidRPr="00A411EC" w:rsidRDefault="6DC52871" w:rsidP="00BB73B7">
      <w:pPr>
        <w:rPr>
          <w:rFonts w:cstheme="minorHAnsi"/>
        </w:rPr>
      </w:pPr>
      <w:r w:rsidRPr="00A411EC">
        <w:rPr>
          <w:rFonts w:cstheme="minorHAnsi"/>
        </w:rPr>
        <w:t xml:space="preserve">Fusarium head blight (FHB) is one of the most devastating diseases of barley. FHB is caused by a species complex of </w:t>
      </w:r>
      <w:r w:rsidRPr="00A411EC">
        <w:rPr>
          <w:rFonts w:cstheme="minorHAnsi"/>
          <w:i/>
          <w:iCs/>
        </w:rPr>
        <w:t>Fusaria</w:t>
      </w:r>
      <w:r w:rsidRPr="00A411EC">
        <w:rPr>
          <w:rFonts w:cstheme="minorHAnsi"/>
        </w:rPr>
        <w:t xml:space="preserve">, of which </w:t>
      </w:r>
      <w:r w:rsidRPr="00A411EC">
        <w:rPr>
          <w:rFonts w:cstheme="minorHAnsi"/>
          <w:i/>
          <w:iCs/>
        </w:rPr>
        <w:t xml:space="preserve">Fusarium </w:t>
      </w:r>
      <w:proofErr w:type="spellStart"/>
      <w:r w:rsidRPr="00A411EC">
        <w:rPr>
          <w:rFonts w:cstheme="minorHAnsi"/>
          <w:i/>
          <w:iCs/>
        </w:rPr>
        <w:t>graminearum</w:t>
      </w:r>
      <w:proofErr w:type="spellEnd"/>
      <w:r w:rsidRPr="00A411EC">
        <w:rPr>
          <w:rFonts w:cstheme="minorHAnsi"/>
        </w:rPr>
        <w:t xml:space="preserve"> is the species responsible for most FHB epidemics in Canada. Field surveys show that two or more </w:t>
      </w:r>
      <w:r w:rsidRPr="00A411EC">
        <w:rPr>
          <w:rFonts w:cstheme="minorHAnsi"/>
          <w:i/>
          <w:iCs/>
        </w:rPr>
        <w:t>Fusarium</w:t>
      </w:r>
      <w:r w:rsidRPr="00A411EC">
        <w:rPr>
          <w:rFonts w:cstheme="minorHAnsi"/>
        </w:rPr>
        <w:t xml:space="preserve"> species often co-exist within the same field or grain sample and </w:t>
      </w:r>
      <w:r w:rsidRPr="00A411EC">
        <w:rPr>
          <w:rFonts w:cstheme="minorHAnsi"/>
          <w:i/>
          <w:iCs/>
        </w:rPr>
        <w:t xml:space="preserve">F. </w:t>
      </w:r>
      <w:proofErr w:type="spellStart"/>
      <w:r w:rsidRPr="00A411EC">
        <w:rPr>
          <w:rFonts w:cstheme="minorHAnsi"/>
          <w:i/>
          <w:iCs/>
        </w:rPr>
        <w:t>poae</w:t>
      </w:r>
      <w:proofErr w:type="spellEnd"/>
      <w:r w:rsidRPr="00A411EC">
        <w:rPr>
          <w:rFonts w:cstheme="minorHAnsi"/>
        </w:rPr>
        <w:t xml:space="preserve"> is reported as another dominant species in barley in eastern Canada. The aim of this study was to determine the pathogenicity of </w:t>
      </w:r>
      <w:r w:rsidRPr="00A411EC">
        <w:rPr>
          <w:rFonts w:cstheme="minorHAnsi"/>
          <w:i/>
          <w:iCs/>
        </w:rPr>
        <w:t xml:space="preserve">F. </w:t>
      </w:r>
      <w:proofErr w:type="spellStart"/>
      <w:r w:rsidRPr="00A411EC">
        <w:rPr>
          <w:rFonts w:cstheme="minorHAnsi"/>
          <w:i/>
          <w:iCs/>
        </w:rPr>
        <w:t>graminearum</w:t>
      </w:r>
      <w:proofErr w:type="spellEnd"/>
      <w:r w:rsidRPr="00A411EC">
        <w:rPr>
          <w:rFonts w:cstheme="minorHAnsi"/>
        </w:rPr>
        <w:t xml:space="preserve">, </w:t>
      </w:r>
      <w:r w:rsidRPr="00A411EC">
        <w:rPr>
          <w:rFonts w:cstheme="minorHAnsi"/>
          <w:i/>
          <w:iCs/>
        </w:rPr>
        <w:t xml:space="preserve">F. </w:t>
      </w:r>
      <w:proofErr w:type="spellStart"/>
      <w:r w:rsidRPr="00A411EC">
        <w:rPr>
          <w:rFonts w:cstheme="minorHAnsi"/>
          <w:i/>
          <w:iCs/>
        </w:rPr>
        <w:t>poae</w:t>
      </w:r>
      <w:proofErr w:type="spellEnd"/>
      <w:r w:rsidRPr="00A411EC">
        <w:rPr>
          <w:rFonts w:cstheme="minorHAnsi"/>
        </w:rPr>
        <w:t xml:space="preserve"> and a co-inoculation of both species causing FHB in barley under controlled conditions. Two susceptible barley genotypes were spray-inoculated at 10 to 14 days after heading. Phenotypic disease severity was rated on a scale of 0-9 at 4, 7, 14, and 21 days after inoculation. There was a significant difference in FHB severity between </w:t>
      </w:r>
      <w:r w:rsidRPr="00A411EC">
        <w:rPr>
          <w:rFonts w:cstheme="minorHAnsi"/>
          <w:i/>
          <w:iCs/>
        </w:rPr>
        <w:t xml:space="preserve">F. </w:t>
      </w:r>
      <w:proofErr w:type="spellStart"/>
      <w:r w:rsidRPr="00A411EC">
        <w:rPr>
          <w:rFonts w:cstheme="minorHAnsi"/>
          <w:i/>
          <w:iCs/>
        </w:rPr>
        <w:t>graminearum</w:t>
      </w:r>
      <w:proofErr w:type="spellEnd"/>
      <w:r w:rsidRPr="00A411EC">
        <w:rPr>
          <w:rFonts w:cstheme="minorHAnsi"/>
          <w:i/>
          <w:iCs/>
        </w:rPr>
        <w:t xml:space="preserve"> </w:t>
      </w:r>
      <w:r w:rsidRPr="00A411EC">
        <w:rPr>
          <w:rFonts w:cstheme="minorHAnsi"/>
        </w:rPr>
        <w:t xml:space="preserve">and </w:t>
      </w:r>
      <w:r w:rsidRPr="00A411EC">
        <w:rPr>
          <w:rFonts w:cstheme="minorHAnsi"/>
          <w:i/>
          <w:iCs/>
        </w:rPr>
        <w:t xml:space="preserve">F. </w:t>
      </w:r>
      <w:proofErr w:type="spellStart"/>
      <w:r w:rsidRPr="00A411EC">
        <w:rPr>
          <w:rFonts w:cstheme="minorHAnsi"/>
          <w:i/>
          <w:iCs/>
        </w:rPr>
        <w:t>poae</w:t>
      </w:r>
      <w:proofErr w:type="spellEnd"/>
      <w:r w:rsidRPr="00A411EC">
        <w:rPr>
          <w:rFonts w:cstheme="minorHAnsi"/>
          <w:i/>
          <w:iCs/>
        </w:rPr>
        <w:t xml:space="preserve">, </w:t>
      </w:r>
      <w:r w:rsidRPr="00A411EC">
        <w:rPr>
          <w:rFonts w:cstheme="minorHAnsi"/>
        </w:rPr>
        <w:t xml:space="preserve">where </w:t>
      </w:r>
      <w:r w:rsidRPr="00A411EC">
        <w:rPr>
          <w:rFonts w:cstheme="minorHAnsi"/>
          <w:i/>
          <w:iCs/>
        </w:rPr>
        <w:t xml:space="preserve">F. </w:t>
      </w:r>
      <w:proofErr w:type="spellStart"/>
      <w:r w:rsidRPr="00A411EC">
        <w:rPr>
          <w:rFonts w:cstheme="minorHAnsi"/>
          <w:i/>
          <w:iCs/>
        </w:rPr>
        <w:t>graminearum</w:t>
      </w:r>
      <w:proofErr w:type="spellEnd"/>
      <w:r w:rsidRPr="00A411EC">
        <w:rPr>
          <w:rFonts w:cstheme="minorHAnsi"/>
        </w:rPr>
        <w:t xml:space="preserve"> produced more severe disease ratings. </w:t>
      </w:r>
      <w:r w:rsidRPr="00A411EC">
        <w:rPr>
          <w:rFonts w:cstheme="minorHAnsi"/>
          <w:i/>
          <w:iCs/>
        </w:rPr>
        <w:t xml:space="preserve">F. </w:t>
      </w:r>
      <w:proofErr w:type="spellStart"/>
      <w:r w:rsidRPr="00A411EC">
        <w:rPr>
          <w:rFonts w:cstheme="minorHAnsi"/>
          <w:i/>
          <w:iCs/>
        </w:rPr>
        <w:t>poae</w:t>
      </w:r>
      <w:proofErr w:type="spellEnd"/>
      <w:r w:rsidRPr="00A411EC">
        <w:rPr>
          <w:rFonts w:cstheme="minorHAnsi"/>
        </w:rPr>
        <w:t xml:space="preserve"> was less pathogenic and not statistically different from the control treatment (inoculated with deionized water only). When heads were co-inoculated with both </w:t>
      </w:r>
      <w:r w:rsidRPr="00A411EC">
        <w:rPr>
          <w:rFonts w:cstheme="minorHAnsi"/>
          <w:i/>
          <w:iCs/>
        </w:rPr>
        <w:t>Fusarium</w:t>
      </w:r>
      <w:r w:rsidRPr="00A411EC">
        <w:rPr>
          <w:rFonts w:cstheme="minorHAnsi"/>
        </w:rPr>
        <w:t xml:space="preserve"> species, the resulting FHB severity was lower than that caused by </w:t>
      </w:r>
      <w:r w:rsidRPr="00A411EC">
        <w:rPr>
          <w:rFonts w:cstheme="minorHAnsi"/>
          <w:i/>
          <w:iCs/>
        </w:rPr>
        <w:t xml:space="preserve">F. </w:t>
      </w:r>
      <w:proofErr w:type="spellStart"/>
      <w:r w:rsidRPr="00A411EC">
        <w:rPr>
          <w:rFonts w:cstheme="minorHAnsi"/>
          <w:i/>
          <w:iCs/>
        </w:rPr>
        <w:t>graminearum</w:t>
      </w:r>
      <w:proofErr w:type="spellEnd"/>
      <w:r w:rsidRPr="00A411EC">
        <w:rPr>
          <w:rFonts w:cstheme="minorHAnsi"/>
        </w:rPr>
        <w:t xml:space="preserve"> alone. This suggests that the presence of </w:t>
      </w:r>
      <w:r w:rsidRPr="00A411EC">
        <w:rPr>
          <w:rFonts w:cstheme="minorHAnsi"/>
          <w:i/>
          <w:iCs/>
        </w:rPr>
        <w:t xml:space="preserve">F. </w:t>
      </w:r>
      <w:proofErr w:type="spellStart"/>
      <w:r w:rsidRPr="00A411EC">
        <w:rPr>
          <w:rFonts w:cstheme="minorHAnsi"/>
          <w:i/>
          <w:iCs/>
        </w:rPr>
        <w:t>poae</w:t>
      </w:r>
      <w:proofErr w:type="spellEnd"/>
      <w:r w:rsidRPr="00A411EC">
        <w:rPr>
          <w:rFonts w:cstheme="minorHAnsi"/>
        </w:rPr>
        <w:t xml:space="preserve"> may reduce the pathogenicity of </w:t>
      </w:r>
      <w:r w:rsidRPr="00A411EC">
        <w:rPr>
          <w:rFonts w:cstheme="minorHAnsi"/>
          <w:i/>
          <w:iCs/>
        </w:rPr>
        <w:t xml:space="preserve">F. </w:t>
      </w:r>
      <w:proofErr w:type="spellStart"/>
      <w:r w:rsidRPr="00A411EC">
        <w:rPr>
          <w:rFonts w:cstheme="minorHAnsi"/>
          <w:i/>
          <w:iCs/>
        </w:rPr>
        <w:t>graminearum</w:t>
      </w:r>
      <w:proofErr w:type="spellEnd"/>
      <w:r w:rsidRPr="00A411EC">
        <w:rPr>
          <w:rFonts w:cstheme="minorHAnsi"/>
          <w:i/>
          <w:iCs/>
        </w:rPr>
        <w:t xml:space="preserve"> </w:t>
      </w:r>
      <w:r w:rsidRPr="00A411EC">
        <w:rPr>
          <w:rFonts w:cstheme="minorHAnsi"/>
        </w:rPr>
        <w:t>in causing FHB, however according to our preliminary data, this difference is not significant.</w:t>
      </w:r>
    </w:p>
    <w:p w14:paraId="0EEFB1DC" w14:textId="519F21C3" w:rsidR="6DC52871" w:rsidRPr="00CB24F5" w:rsidRDefault="6DC52871" w:rsidP="6DC52871">
      <w:pPr>
        <w:rPr>
          <w:rFonts w:cstheme="minorHAnsi"/>
          <w:b/>
          <w:bCs/>
          <w:sz w:val="24"/>
          <w:szCs w:val="24"/>
        </w:rPr>
      </w:pPr>
      <w:r w:rsidRPr="00CB24F5">
        <w:rPr>
          <w:rFonts w:cstheme="minorHAnsi"/>
          <w:b/>
          <w:bCs/>
          <w:sz w:val="24"/>
          <w:szCs w:val="24"/>
        </w:rPr>
        <w:t>OBJECTIVE</w:t>
      </w:r>
    </w:p>
    <w:p w14:paraId="7D9EBCCF" w14:textId="6C4290DB" w:rsidR="6DC52871" w:rsidRPr="00CB24F5" w:rsidRDefault="6DC52871" w:rsidP="6DC52871">
      <w:pPr>
        <w:rPr>
          <w:rFonts w:cstheme="minorHAnsi"/>
          <w:sz w:val="24"/>
          <w:szCs w:val="24"/>
        </w:rPr>
      </w:pPr>
      <w:r w:rsidRPr="00CB24F5">
        <w:rPr>
          <w:rFonts w:cstheme="minorHAnsi"/>
          <w:sz w:val="24"/>
          <w:szCs w:val="24"/>
        </w:rPr>
        <w:t xml:space="preserve">To assess the individual and interactive effects of </w:t>
      </w:r>
      <w:r w:rsidRPr="00CB24F5">
        <w:rPr>
          <w:rFonts w:cstheme="minorHAnsi"/>
          <w:i/>
          <w:iCs/>
          <w:sz w:val="24"/>
          <w:szCs w:val="24"/>
        </w:rPr>
        <w:t xml:space="preserve">Fusarium </w:t>
      </w:r>
      <w:proofErr w:type="spellStart"/>
      <w:r w:rsidRPr="00CB24F5">
        <w:rPr>
          <w:rFonts w:cstheme="minorHAnsi"/>
          <w:i/>
          <w:iCs/>
          <w:sz w:val="24"/>
          <w:szCs w:val="24"/>
        </w:rPr>
        <w:t>graminearum</w:t>
      </w:r>
      <w:proofErr w:type="spellEnd"/>
      <w:r w:rsidRPr="00CB24F5">
        <w:rPr>
          <w:rFonts w:cstheme="minorHAnsi"/>
          <w:i/>
          <w:iCs/>
          <w:sz w:val="24"/>
          <w:szCs w:val="24"/>
        </w:rPr>
        <w:t xml:space="preserve"> </w:t>
      </w:r>
      <w:r w:rsidRPr="00CB24F5">
        <w:rPr>
          <w:rFonts w:cstheme="minorHAnsi"/>
          <w:sz w:val="24"/>
          <w:szCs w:val="24"/>
        </w:rPr>
        <w:t xml:space="preserve">and </w:t>
      </w:r>
      <w:r w:rsidRPr="00CB24F5">
        <w:rPr>
          <w:rFonts w:cstheme="minorHAnsi"/>
          <w:i/>
          <w:iCs/>
          <w:sz w:val="24"/>
          <w:szCs w:val="24"/>
        </w:rPr>
        <w:t xml:space="preserve">Fusarium </w:t>
      </w:r>
      <w:proofErr w:type="spellStart"/>
      <w:r w:rsidRPr="00CB24F5">
        <w:rPr>
          <w:rFonts w:cstheme="minorHAnsi"/>
          <w:i/>
          <w:iCs/>
          <w:sz w:val="24"/>
          <w:szCs w:val="24"/>
        </w:rPr>
        <w:t>poae</w:t>
      </w:r>
      <w:proofErr w:type="spellEnd"/>
      <w:r w:rsidRPr="00CB24F5">
        <w:rPr>
          <w:rFonts w:cstheme="minorHAnsi"/>
          <w:sz w:val="24"/>
          <w:szCs w:val="24"/>
        </w:rPr>
        <w:t xml:space="preserve"> on Fusarium head blight symptom severity in barley under controlled conditions.</w:t>
      </w:r>
    </w:p>
    <w:p w14:paraId="4B746E77" w14:textId="73EB00B8" w:rsidR="00BB73B7" w:rsidRPr="00CB24F5" w:rsidRDefault="6DC52871" w:rsidP="6DC52871">
      <w:pPr>
        <w:rPr>
          <w:rFonts w:cstheme="minorHAnsi"/>
          <w:b/>
          <w:bCs/>
          <w:sz w:val="24"/>
          <w:szCs w:val="24"/>
        </w:rPr>
      </w:pPr>
      <w:r w:rsidRPr="00CB24F5">
        <w:rPr>
          <w:rFonts w:cstheme="minorHAnsi"/>
          <w:b/>
          <w:bCs/>
          <w:sz w:val="24"/>
          <w:szCs w:val="24"/>
        </w:rPr>
        <w:t>INTRODUCTION</w:t>
      </w:r>
    </w:p>
    <w:p w14:paraId="068472AD" w14:textId="06B3712F" w:rsidR="6DC52871" w:rsidRPr="00CB24F5" w:rsidRDefault="6DC52871" w:rsidP="6DC52871">
      <w:pPr>
        <w:rPr>
          <w:rFonts w:cstheme="minorHAnsi"/>
          <w:sz w:val="24"/>
          <w:szCs w:val="24"/>
        </w:rPr>
      </w:pPr>
      <w:r w:rsidRPr="00CB24F5">
        <w:rPr>
          <w:rFonts w:cstheme="minorHAnsi"/>
          <w:sz w:val="24"/>
          <w:szCs w:val="24"/>
        </w:rPr>
        <w:t xml:space="preserve">Fusarium head blight (FHB) is a devastating fungal disease that causes massive losses in grain yield and quality in cereals and grasses. It is mostly distinguished by their shrivelled and/or discoloured ‘tombstones’. Infected kernels are particularly dangerous to livestock and human health because of mycotoxins accumulated in the grain. When consumed beyond safe thresholds, these mycotoxins have </w:t>
      </w:r>
      <w:r w:rsidR="00E56BF1" w:rsidRPr="00CB24F5">
        <w:rPr>
          <w:rFonts w:cstheme="minorHAnsi"/>
          <w:sz w:val="24"/>
          <w:szCs w:val="24"/>
        </w:rPr>
        <w:t>adverse</w:t>
      </w:r>
      <w:r w:rsidRPr="00CB24F5">
        <w:rPr>
          <w:rFonts w:cstheme="minorHAnsi"/>
          <w:sz w:val="24"/>
          <w:szCs w:val="24"/>
        </w:rPr>
        <w:t xml:space="preserve"> gastrointestinal and reproductive effects on consumer health. </w:t>
      </w:r>
    </w:p>
    <w:p w14:paraId="19DE645A" w14:textId="63DF49E1" w:rsidR="6DC52871" w:rsidRPr="00CB24F5" w:rsidRDefault="6DC52871" w:rsidP="6DC52871">
      <w:pPr>
        <w:rPr>
          <w:rFonts w:cstheme="minorHAnsi"/>
          <w:sz w:val="24"/>
          <w:szCs w:val="24"/>
        </w:rPr>
      </w:pPr>
      <w:r w:rsidRPr="00CB24F5">
        <w:rPr>
          <w:rFonts w:cstheme="minorHAnsi"/>
          <w:sz w:val="24"/>
          <w:szCs w:val="24"/>
        </w:rPr>
        <w:t xml:space="preserve">FHB is caused by a complex of species, of which the predominant causal species in Canada is </w:t>
      </w:r>
      <w:r w:rsidRPr="00CB24F5">
        <w:rPr>
          <w:rFonts w:cstheme="minorHAnsi"/>
          <w:i/>
          <w:iCs/>
          <w:sz w:val="24"/>
          <w:szCs w:val="24"/>
        </w:rPr>
        <w:t xml:space="preserve">Fusarium </w:t>
      </w:r>
      <w:proofErr w:type="spellStart"/>
      <w:r w:rsidRPr="00CB24F5">
        <w:rPr>
          <w:rFonts w:cstheme="minorHAnsi"/>
          <w:i/>
          <w:iCs/>
          <w:sz w:val="24"/>
          <w:szCs w:val="24"/>
        </w:rPr>
        <w:t>graminearum</w:t>
      </w:r>
      <w:proofErr w:type="spellEnd"/>
      <w:r w:rsidRPr="00CB24F5">
        <w:rPr>
          <w:rFonts w:cstheme="minorHAnsi"/>
          <w:i/>
          <w:iCs/>
          <w:sz w:val="24"/>
          <w:szCs w:val="24"/>
        </w:rPr>
        <w:t xml:space="preserve"> </w:t>
      </w:r>
      <w:r w:rsidRPr="00CB24F5">
        <w:rPr>
          <w:rFonts w:cstheme="minorHAnsi"/>
          <w:sz w:val="24"/>
          <w:szCs w:val="24"/>
        </w:rPr>
        <w:t>(</w:t>
      </w:r>
      <w:proofErr w:type="spellStart"/>
      <w:r w:rsidRPr="00CB24F5">
        <w:rPr>
          <w:rFonts w:cstheme="minorHAnsi"/>
          <w:i/>
          <w:iCs/>
          <w:sz w:val="24"/>
          <w:szCs w:val="24"/>
        </w:rPr>
        <w:t>Fg</w:t>
      </w:r>
      <w:proofErr w:type="spellEnd"/>
      <w:r w:rsidRPr="00CB24F5">
        <w:rPr>
          <w:rFonts w:cstheme="minorHAnsi"/>
          <w:sz w:val="24"/>
          <w:szCs w:val="24"/>
        </w:rPr>
        <w:t>)</w:t>
      </w:r>
      <w:r w:rsidRPr="00CB24F5">
        <w:rPr>
          <w:rFonts w:cstheme="minorHAnsi"/>
          <w:i/>
          <w:iCs/>
          <w:sz w:val="24"/>
          <w:szCs w:val="24"/>
        </w:rPr>
        <w:t xml:space="preserve">. </w:t>
      </w:r>
      <w:r w:rsidRPr="00CB24F5">
        <w:rPr>
          <w:rFonts w:cstheme="minorHAnsi"/>
          <w:sz w:val="24"/>
          <w:szCs w:val="24"/>
        </w:rPr>
        <w:t xml:space="preserve">Results from a 2001-2017 survey in Ontario, Canada showed that </w:t>
      </w:r>
      <w:proofErr w:type="spellStart"/>
      <w:r w:rsidRPr="00CB24F5">
        <w:rPr>
          <w:rFonts w:cstheme="minorHAnsi"/>
          <w:i/>
          <w:iCs/>
          <w:sz w:val="24"/>
          <w:szCs w:val="24"/>
        </w:rPr>
        <w:t>Fg</w:t>
      </w:r>
      <w:proofErr w:type="spellEnd"/>
      <w:r w:rsidRPr="00CB24F5">
        <w:rPr>
          <w:rFonts w:cstheme="minorHAnsi"/>
          <w:sz w:val="24"/>
          <w:szCs w:val="24"/>
        </w:rPr>
        <w:t xml:space="preserve"> was most detected in grain samples in epidemic years. However, in non-epidemic years, a weaker pathogen, </w:t>
      </w:r>
      <w:r w:rsidRPr="00CB24F5">
        <w:rPr>
          <w:rFonts w:cstheme="minorHAnsi"/>
          <w:i/>
          <w:iCs/>
          <w:sz w:val="24"/>
          <w:szCs w:val="24"/>
        </w:rPr>
        <w:t xml:space="preserve">F. </w:t>
      </w:r>
      <w:proofErr w:type="spellStart"/>
      <w:r w:rsidRPr="00CB24F5">
        <w:rPr>
          <w:rFonts w:cstheme="minorHAnsi"/>
          <w:i/>
          <w:iCs/>
          <w:sz w:val="24"/>
          <w:szCs w:val="24"/>
        </w:rPr>
        <w:t>poae</w:t>
      </w:r>
      <w:proofErr w:type="spellEnd"/>
      <w:r w:rsidRPr="00CB24F5">
        <w:rPr>
          <w:rFonts w:cstheme="minorHAnsi"/>
          <w:i/>
          <w:iCs/>
          <w:sz w:val="24"/>
          <w:szCs w:val="24"/>
        </w:rPr>
        <w:t xml:space="preserve"> </w:t>
      </w:r>
      <w:r w:rsidRPr="00CB24F5">
        <w:rPr>
          <w:rFonts w:cstheme="minorHAnsi"/>
          <w:sz w:val="24"/>
          <w:szCs w:val="24"/>
        </w:rPr>
        <w:t>(</w:t>
      </w:r>
      <w:proofErr w:type="spellStart"/>
      <w:r w:rsidRPr="00CB24F5">
        <w:rPr>
          <w:rFonts w:cstheme="minorHAnsi"/>
          <w:i/>
          <w:iCs/>
          <w:sz w:val="24"/>
          <w:szCs w:val="24"/>
        </w:rPr>
        <w:t>Fp</w:t>
      </w:r>
      <w:proofErr w:type="spellEnd"/>
      <w:r w:rsidRPr="00CB24F5">
        <w:rPr>
          <w:rFonts w:cstheme="minorHAnsi"/>
          <w:sz w:val="24"/>
          <w:szCs w:val="24"/>
        </w:rPr>
        <w:t xml:space="preserve">), was most detected, especially in barley. Furthermore, relative </w:t>
      </w:r>
      <w:r w:rsidRPr="00CB24F5">
        <w:rPr>
          <w:rFonts w:cstheme="minorHAnsi"/>
          <w:sz w:val="24"/>
          <w:szCs w:val="24"/>
        </w:rPr>
        <w:lastRenderedPageBreak/>
        <w:t xml:space="preserve">host species differences were observed where </w:t>
      </w:r>
      <w:proofErr w:type="spellStart"/>
      <w:r w:rsidRPr="00CB24F5">
        <w:rPr>
          <w:rFonts w:cstheme="minorHAnsi"/>
          <w:i/>
          <w:iCs/>
          <w:sz w:val="24"/>
          <w:szCs w:val="24"/>
        </w:rPr>
        <w:t>Fg</w:t>
      </w:r>
      <w:proofErr w:type="spellEnd"/>
      <w:r w:rsidRPr="00CB24F5">
        <w:rPr>
          <w:rFonts w:cstheme="minorHAnsi"/>
          <w:sz w:val="24"/>
          <w:szCs w:val="24"/>
        </w:rPr>
        <w:t xml:space="preserve"> was most dominant in wheat, </w:t>
      </w:r>
      <w:r w:rsidRPr="00CB24F5">
        <w:rPr>
          <w:rFonts w:cstheme="minorHAnsi"/>
          <w:i/>
          <w:iCs/>
          <w:sz w:val="24"/>
          <w:szCs w:val="24"/>
        </w:rPr>
        <w:t xml:space="preserve">F. </w:t>
      </w:r>
      <w:proofErr w:type="spellStart"/>
      <w:r w:rsidRPr="00CB24F5">
        <w:rPr>
          <w:rFonts w:cstheme="minorHAnsi"/>
          <w:i/>
          <w:iCs/>
          <w:sz w:val="24"/>
          <w:szCs w:val="24"/>
        </w:rPr>
        <w:t>poae</w:t>
      </w:r>
      <w:proofErr w:type="spellEnd"/>
      <w:r w:rsidRPr="00CB24F5">
        <w:rPr>
          <w:rFonts w:cstheme="minorHAnsi"/>
          <w:sz w:val="24"/>
          <w:szCs w:val="24"/>
        </w:rPr>
        <w:t xml:space="preserve"> was most dominant in oat, but in barley </w:t>
      </w:r>
      <w:proofErr w:type="spellStart"/>
      <w:r w:rsidRPr="00CB24F5">
        <w:rPr>
          <w:rFonts w:cstheme="minorHAnsi"/>
          <w:i/>
          <w:iCs/>
          <w:sz w:val="24"/>
          <w:szCs w:val="24"/>
        </w:rPr>
        <w:t>Fg</w:t>
      </w:r>
      <w:proofErr w:type="spellEnd"/>
      <w:r w:rsidRPr="00CB24F5">
        <w:rPr>
          <w:rFonts w:cstheme="minorHAnsi"/>
          <w:sz w:val="24"/>
          <w:szCs w:val="24"/>
        </w:rPr>
        <w:t xml:space="preserve"> and </w:t>
      </w:r>
      <w:proofErr w:type="spellStart"/>
      <w:r w:rsidRPr="00CB24F5">
        <w:rPr>
          <w:rFonts w:cstheme="minorHAnsi"/>
          <w:i/>
          <w:iCs/>
          <w:sz w:val="24"/>
          <w:szCs w:val="24"/>
        </w:rPr>
        <w:t>Fp</w:t>
      </w:r>
      <w:proofErr w:type="spellEnd"/>
      <w:r w:rsidRPr="00CB24F5">
        <w:rPr>
          <w:rFonts w:cstheme="minorHAnsi"/>
          <w:sz w:val="24"/>
          <w:szCs w:val="24"/>
        </w:rPr>
        <w:t xml:space="preserve"> were equally dominant. Seasonal and host differences prompted the question: what is the relationship between </w:t>
      </w:r>
      <w:proofErr w:type="spellStart"/>
      <w:r w:rsidRPr="00CB24F5">
        <w:rPr>
          <w:rFonts w:cstheme="minorHAnsi"/>
          <w:i/>
          <w:iCs/>
          <w:sz w:val="24"/>
          <w:szCs w:val="24"/>
        </w:rPr>
        <w:t>Fg</w:t>
      </w:r>
      <w:proofErr w:type="spellEnd"/>
      <w:r w:rsidRPr="00CB24F5">
        <w:rPr>
          <w:rFonts w:cstheme="minorHAnsi"/>
          <w:sz w:val="24"/>
          <w:szCs w:val="24"/>
        </w:rPr>
        <w:t xml:space="preserve"> and </w:t>
      </w:r>
      <w:proofErr w:type="spellStart"/>
      <w:r w:rsidRPr="00CB24F5">
        <w:rPr>
          <w:rFonts w:cstheme="minorHAnsi"/>
          <w:i/>
          <w:iCs/>
          <w:sz w:val="24"/>
          <w:szCs w:val="24"/>
        </w:rPr>
        <w:t>Fp</w:t>
      </w:r>
      <w:proofErr w:type="spellEnd"/>
      <w:r w:rsidRPr="00CB24F5">
        <w:rPr>
          <w:rFonts w:cstheme="minorHAnsi"/>
          <w:sz w:val="24"/>
          <w:szCs w:val="24"/>
        </w:rPr>
        <w:t xml:space="preserve"> in barley? To our knowledge, all published </w:t>
      </w:r>
      <w:r w:rsidRPr="00CB24F5">
        <w:rPr>
          <w:rFonts w:cstheme="minorHAnsi"/>
          <w:i/>
          <w:iCs/>
          <w:sz w:val="24"/>
          <w:szCs w:val="24"/>
        </w:rPr>
        <w:t>Fusarium</w:t>
      </w:r>
      <w:r w:rsidRPr="00CB24F5">
        <w:rPr>
          <w:rFonts w:cstheme="minorHAnsi"/>
          <w:sz w:val="24"/>
          <w:szCs w:val="24"/>
        </w:rPr>
        <w:t xml:space="preserve"> interaction studies are performed </w:t>
      </w:r>
      <w:r w:rsidRPr="00CB24F5">
        <w:rPr>
          <w:rFonts w:cstheme="minorHAnsi"/>
          <w:i/>
          <w:iCs/>
          <w:sz w:val="24"/>
          <w:szCs w:val="24"/>
        </w:rPr>
        <w:t>in vitro</w:t>
      </w:r>
      <w:r w:rsidRPr="00CB24F5">
        <w:rPr>
          <w:rFonts w:cstheme="minorHAnsi"/>
          <w:sz w:val="24"/>
          <w:szCs w:val="24"/>
        </w:rPr>
        <w:t xml:space="preserve"> or in wheat</w:t>
      </w:r>
      <w:r w:rsidR="00E56BF1" w:rsidRPr="00CB24F5">
        <w:rPr>
          <w:rFonts w:cstheme="minorHAnsi"/>
          <w:sz w:val="24"/>
          <w:szCs w:val="24"/>
        </w:rPr>
        <w:t>. The report below</w:t>
      </w:r>
      <w:r w:rsidRPr="00CB24F5">
        <w:rPr>
          <w:rFonts w:cstheme="minorHAnsi"/>
          <w:sz w:val="24"/>
          <w:szCs w:val="24"/>
        </w:rPr>
        <w:t xml:space="preserve"> is the first observing </w:t>
      </w:r>
      <w:proofErr w:type="spellStart"/>
      <w:r w:rsidRPr="00CB24F5">
        <w:rPr>
          <w:rFonts w:cstheme="minorHAnsi"/>
          <w:i/>
          <w:iCs/>
          <w:sz w:val="24"/>
          <w:szCs w:val="24"/>
        </w:rPr>
        <w:t>Fg</w:t>
      </w:r>
      <w:proofErr w:type="spellEnd"/>
      <w:r w:rsidRPr="00CB24F5">
        <w:rPr>
          <w:rFonts w:cstheme="minorHAnsi"/>
          <w:sz w:val="24"/>
          <w:szCs w:val="24"/>
        </w:rPr>
        <w:t xml:space="preserve"> and </w:t>
      </w:r>
      <w:proofErr w:type="spellStart"/>
      <w:r w:rsidRPr="00CB24F5">
        <w:rPr>
          <w:rFonts w:cstheme="minorHAnsi"/>
          <w:i/>
          <w:iCs/>
          <w:sz w:val="24"/>
          <w:szCs w:val="24"/>
        </w:rPr>
        <w:t>Fp</w:t>
      </w:r>
      <w:proofErr w:type="spellEnd"/>
      <w:r w:rsidRPr="00CB24F5">
        <w:rPr>
          <w:rFonts w:cstheme="minorHAnsi"/>
          <w:sz w:val="24"/>
          <w:szCs w:val="24"/>
        </w:rPr>
        <w:t xml:space="preserve"> in barley.</w:t>
      </w:r>
    </w:p>
    <w:p w14:paraId="19878FC0" w14:textId="15FBAA3A" w:rsidR="00BB73B7" w:rsidRPr="00CB24F5" w:rsidRDefault="6DC52871" w:rsidP="00BB73B7">
      <w:pPr>
        <w:rPr>
          <w:rFonts w:cstheme="minorHAnsi"/>
          <w:sz w:val="24"/>
          <w:szCs w:val="24"/>
        </w:rPr>
      </w:pPr>
      <w:r w:rsidRPr="00CB24F5">
        <w:rPr>
          <w:rFonts w:cstheme="minorHAnsi"/>
          <w:b/>
          <w:bCs/>
          <w:sz w:val="24"/>
          <w:szCs w:val="24"/>
        </w:rPr>
        <w:t>MATERIALS AND METHODS</w:t>
      </w:r>
      <w:r w:rsidR="00BB73B7" w:rsidRPr="00CB24F5">
        <w:rPr>
          <w:rFonts w:cstheme="minorHAnsi"/>
        </w:rPr>
        <w:br/>
      </w:r>
      <w:r w:rsidRPr="00CB24F5">
        <w:rPr>
          <w:rFonts w:cstheme="minorHAnsi"/>
          <w:b/>
          <w:bCs/>
          <w:sz w:val="24"/>
          <w:szCs w:val="24"/>
        </w:rPr>
        <w:t>Plant material</w:t>
      </w:r>
    </w:p>
    <w:p w14:paraId="463ED018" w14:textId="2E1891C2" w:rsidR="00BB73B7" w:rsidRPr="00CB24F5" w:rsidRDefault="6DC52871" w:rsidP="6DC52871">
      <w:pPr>
        <w:rPr>
          <w:rFonts w:cstheme="minorHAnsi"/>
          <w:sz w:val="24"/>
          <w:szCs w:val="24"/>
        </w:rPr>
      </w:pPr>
      <w:r w:rsidRPr="00CB24F5">
        <w:rPr>
          <w:rFonts w:cstheme="minorHAnsi"/>
          <w:sz w:val="24"/>
          <w:szCs w:val="24"/>
        </w:rPr>
        <w:t>Two susceptible spring barley genotypes, Stander (six-row) and CDC Bold (two-row), were tested in growth cabinets at Agriculture and Agri-Food Canada’s Ottawa Research and Development Centre in 2021. Seeds were germinated on soaked Whatman paper, and then five seeds per 7.5” pot were transferred to a growth cabinet at 20:17°C with a photoperiod of 16h light:8h dark and 70% relative humidity (RH). At two weeks after planting, plants were fertilized once a week with 20-20-20 until harvest. Two pots of each genotype were randomly assigned to each treatment and arranged in a completely random fashion in the cabinet.</w:t>
      </w:r>
    </w:p>
    <w:p w14:paraId="544A42A2" w14:textId="3F8784F4" w:rsidR="00BB73B7" w:rsidRPr="00CB24F5" w:rsidRDefault="002339DE" w:rsidP="00BB73B7">
      <w:pPr>
        <w:rPr>
          <w:rFonts w:cstheme="minorHAnsi"/>
          <w:b/>
          <w:bCs/>
          <w:sz w:val="24"/>
          <w:szCs w:val="24"/>
        </w:rPr>
      </w:pPr>
      <w:r w:rsidRPr="00CB24F5">
        <w:rPr>
          <w:rFonts w:cstheme="minorHAnsi"/>
          <w:b/>
          <w:bCs/>
          <w:sz w:val="24"/>
          <w:szCs w:val="24"/>
        </w:rPr>
        <w:t>Infection and d</w:t>
      </w:r>
      <w:r w:rsidR="00BB73B7" w:rsidRPr="00CB24F5">
        <w:rPr>
          <w:rFonts w:cstheme="minorHAnsi"/>
          <w:b/>
          <w:bCs/>
          <w:sz w:val="24"/>
          <w:szCs w:val="24"/>
        </w:rPr>
        <w:t>isease severity rating</w:t>
      </w:r>
    </w:p>
    <w:p w14:paraId="528505E3" w14:textId="2B6C6854" w:rsidR="00BB73B7" w:rsidRPr="00CB24F5" w:rsidRDefault="6DC52871" w:rsidP="6DC52871">
      <w:pPr>
        <w:rPr>
          <w:rFonts w:cstheme="minorHAnsi"/>
          <w:sz w:val="24"/>
          <w:szCs w:val="24"/>
        </w:rPr>
      </w:pPr>
      <w:r w:rsidRPr="00CB24F5">
        <w:rPr>
          <w:rFonts w:cstheme="minorHAnsi"/>
          <w:sz w:val="24"/>
          <w:szCs w:val="24"/>
        </w:rPr>
        <w:t>At 10-14 days after heading (</w:t>
      </w:r>
      <w:proofErr w:type="gramStart"/>
      <w:r w:rsidRPr="00CB24F5">
        <w:rPr>
          <w:rFonts w:cstheme="minorHAnsi"/>
          <w:sz w:val="24"/>
          <w:szCs w:val="24"/>
        </w:rPr>
        <w:t>i.e.</w:t>
      </w:r>
      <w:proofErr w:type="gramEnd"/>
      <w:r w:rsidRPr="00CB24F5">
        <w:rPr>
          <w:rFonts w:cstheme="minorHAnsi"/>
          <w:sz w:val="24"/>
          <w:szCs w:val="24"/>
        </w:rPr>
        <w:t xml:space="preserve"> base of spike has emerged from the flag leaf sheath collar), spikes were inoculated with one of four treatments: </w:t>
      </w:r>
      <w:r w:rsidRPr="00CB24F5">
        <w:rPr>
          <w:rFonts w:cstheme="minorHAnsi"/>
          <w:i/>
          <w:iCs/>
          <w:sz w:val="24"/>
          <w:szCs w:val="24"/>
        </w:rPr>
        <w:t xml:space="preserve">F. </w:t>
      </w:r>
      <w:proofErr w:type="spellStart"/>
      <w:r w:rsidRPr="00CB24F5">
        <w:rPr>
          <w:rFonts w:cstheme="minorHAnsi"/>
          <w:i/>
          <w:iCs/>
          <w:sz w:val="24"/>
          <w:szCs w:val="24"/>
        </w:rPr>
        <w:t>graminearum</w:t>
      </w:r>
      <w:proofErr w:type="spellEnd"/>
      <w:r w:rsidRPr="00CB24F5">
        <w:rPr>
          <w:rFonts w:cstheme="minorHAnsi"/>
          <w:sz w:val="24"/>
          <w:szCs w:val="24"/>
        </w:rPr>
        <w:t xml:space="preserve"> (</w:t>
      </w:r>
      <w:proofErr w:type="spellStart"/>
      <w:r w:rsidRPr="00CB24F5">
        <w:rPr>
          <w:rFonts w:cstheme="minorHAnsi"/>
          <w:i/>
          <w:iCs/>
          <w:sz w:val="24"/>
          <w:szCs w:val="24"/>
        </w:rPr>
        <w:t>Fg</w:t>
      </w:r>
      <w:proofErr w:type="spellEnd"/>
      <w:r w:rsidRPr="00CB24F5">
        <w:rPr>
          <w:rFonts w:cstheme="minorHAnsi"/>
          <w:sz w:val="24"/>
          <w:szCs w:val="24"/>
        </w:rPr>
        <w:t>; DAOMC 180378, Ottawa, ON</w:t>
      </w:r>
      <w:r w:rsidR="00D23C1C" w:rsidRPr="00CB24F5">
        <w:rPr>
          <w:rFonts w:cstheme="minorHAnsi"/>
          <w:sz w:val="24"/>
          <w:szCs w:val="24"/>
        </w:rPr>
        <w:t>, Canada</w:t>
      </w:r>
      <w:r w:rsidRPr="00CB24F5">
        <w:rPr>
          <w:rFonts w:cstheme="minorHAnsi"/>
          <w:sz w:val="24"/>
          <w:szCs w:val="24"/>
        </w:rPr>
        <w:t xml:space="preserve">), </w:t>
      </w:r>
      <w:r w:rsidRPr="00CB24F5">
        <w:rPr>
          <w:rFonts w:cstheme="minorHAnsi"/>
          <w:i/>
          <w:iCs/>
          <w:sz w:val="24"/>
          <w:szCs w:val="24"/>
        </w:rPr>
        <w:t xml:space="preserve">F. </w:t>
      </w:r>
      <w:proofErr w:type="spellStart"/>
      <w:r w:rsidRPr="00CB24F5">
        <w:rPr>
          <w:rFonts w:cstheme="minorHAnsi"/>
          <w:i/>
          <w:iCs/>
          <w:sz w:val="24"/>
          <w:szCs w:val="24"/>
        </w:rPr>
        <w:t>poae</w:t>
      </w:r>
      <w:proofErr w:type="spellEnd"/>
      <w:r w:rsidRPr="00CB24F5">
        <w:rPr>
          <w:rFonts w:cstheme="minorHAnsi"/>
          <w:sz w:val="24"/>
          <w:szCs w:val="24"/>
        </w:rPr>
        <w:t xml:space="preserve"> (</w:t>
      </w:r>
      <w:proofErr w:type="spellStart"/>
      <w:r w:rsidRPr="00CB24F5">
        <w:rPr>
          <w:rFonts w:cstheme="minorHAnsi"/>
          <w:i/>
          <w:iCs/>
          <w:sz w:val="24"/>
          <w:szCs w:val="24"/>
        </w:rPr>
        <w:t>Fp</w:t>
      </w:r>
      <w:proofErr w:type="spellEnd"/>
      <w:r w:rsidRPr="00CB24F5">
        <w:rPr>
          <w:rFonts w:cstheme="minorHAnsi"/>
          <w:sz w:val="24"/>
          <w:szCs w:val="24"/>
        </w:rPr>
        <w:t>; DAOMC 252242, Ottawa, ON</w:t>
      </w:r>
      <w:r w:rsidR="00D23C1C" w:rsidRPr="00CB24F5">
        <w:rPr>
          <w:rFonts w:cstheme="minorHAnsi"/>
          <w:sz w:val="24"/>
          <w:szCs w:val="24"/>
        </w:rPr>
        <w:t>, Canada</w:t>
      </w:r>
      <w:r w:rsidRPr="00CB24F5">
        <w:rPr>
          <w:rFonts w:cstheme="minorHAnsi"/>
          <w:sz w:val="24"/>
          <w:szCs w:val="24"/>
        </w:rPr>
        <w:t xml:space="preserve">), </w:t>
      </w:r>
      <w:proofErr w:type="spellStart"/>
      <w:r w:rsidRPr="00CB24F5">
        <w:rPr>
          <w:rFonts w:cstheme="minorHAnsi"/>
          <w:i/>
          <w:iCs/>
          <w:sz w:val="24"/>
          <w:szCs w:val="24"/>
        </w:rPr>
        <w:t>Fg</w:t>
      </w:r>
      <w:proofErr w:type="spellEnd"/>
      <w:r w:rsidRPr="00CB24F5">
        <w:rPr>
          <w:rFonts w:cstheme="minorHAnsi"/>
          <w:sz w:val="24"/>
          <w:szCs w:val="24"/>
        </w:rPr>
        <w:t xml:space="preserve"> + </w:t>
      </w:r>
      <w:proofErr w:type="spellStart"/>
      <w:r w:rsidRPr="00CB24F5">
        <w:rPr>
          <w:rFonts w:cstheme="minorHAnsi"/>
          <w:i/>
          <w:iCs/>
          <w:sz w:val="24"/>
          <w:szCs w:val="24"/>
        </w:rPr>
        <w:t>Fp</w:t>
      </w:r>
      <w:proofErr w:type="spellEnd"/>
      <w:r w:rsidRPr="00CB24F5">
        <w:rPr>
          <w:rFonts w:cstheme="minorHAnsi"/>
          <w:sz w:val="24"/>
          <w:szCs w:val="24"/>
        </w:rPr>
        <w:t>, ddH</w:t>
      </w:r>
      <w:r w:rsidRPr="00CB24F5">
        <w:rPr>
          <w:rFonts w:cstheme="minorHAnsi"/>
          <w:sz w:val="24"/>
          <w:szCs w:val="24"/>
          <w:vertAlign w:val="subscript"/>
        </w:rPr>
        <w:t>2</w:t>
      </w:r>
      <w:r w:rsidRPr="00CB24F5">
        <w:rPr>
          <w:rFonts w:cstheme="minorHAnsi"/>
          <w:sz w:val="24"/>
          <w:szCs w:val="24"/>
        </w:rPr>
        <w:t>O (control). Approximately 1x10</w:t>
      </w:r>
      <w:r w:rsidRPr="00CB24F5">
        <w:rPr>
          <w:rFonts w:cstheme="minorHAnsi"/>
          <w:sz w:val="24"/>
          <w:szCs w:val="24"/>
          <w:vertAlign w:val="superscript"/>
        </w:rPr>
        <w:t>4</w:t>
      </w:r>
      <w:r w:rsidRPr="00CB24F5">
        <w:rPr>
          <w:rFonts w:cstheme="minorHAnsi"/>
          <w:sz w:val="24"/>
          <w:szCs w:val="24"/>
        </w:rPr>
        <w:t xml:space="preserve"> CFUs were sprayed onto each spike, and each entire pot was covered with a plastic bag. Following inoculation, pots were transferred to a growth cabinet with 25:20°C and 90% </w:t>
      </w:r>
      <w:r w:rsidR="00D23C1C" w:rsidRPr="00CB24F5">
        <w:rPr>
          <w:rFonts w:cstheme="minorHAnsi"/>
          <w:sz w:val="24"/>
          <w:szCs w:val="24"/>
        </w:rPr>
        <w:t>RH and</w:t>
      </w:r>
      <w:r w:rsidRPr="00CB24F5">
        <w:rPr>
          <w:rFonts w:cstheme="minorHAnsi"/>
          <w:sz w:val="24"/>
          <w:szCs w:val="24"/>
        </w:rPr>
        <w:t xml:space="preserve"> remained </w:t>
      </w:r>
      <w:r w:rsidR="00D23C1C" w:rsidRPr="00CB24F5">
        <w:rPr>
          <w:rFonts w:cstheme="minorHAnsi"/>
          <w:sz w:val="24"/>
          <w:szCs w:val="24"/>
        </w:rPr>
        <w:t>in this cabinet</w:t>
      </w:r>
      <w:r w:rsidRPr="00CB24F5">
        <w:rPr>
          <w:rFonts w:cstheme="minorHAnsi"/>
          <w:sz w:val="24"/>
          <w:szCs w:val="24"/>
        </w:rPr>
        <w:t xml:space="preserve"> until the end of the experiment.</w:t>
      </w:r>
    </w:p>
    <w:p w14:paraId="73F0597E" w14:textId="43146CA7" w:rsidR="00706DA8" w:rsidRPr="00CB24F5" w:rsidRDefault="6DC52871" w:rsidP="6DC52871">
      <w:pPr>
        <w:rPr>
          <w:rFonts w:cstheme="minorHAnsi"/>
          <w:sz w:val="24"/>
          <w:szCs w:val="24"/>
        </w:rPr>
      </w:pPr>
      <w:r w:rsidRPr="00CB24F5">
        <w:rPr>
          <w:rFonts w:cstheme="minorHAnsi"/>
          <w:sz w:val="24"/>
          <w:szCs w:val="24"/>
        </w:rPr>
        <w:t xml:space="preserve">After 72 hours, the bags were removed, and at </w:t>
      </w:r>
      <w:proofErr w:type="gramStart"/>
      <w:r w:rsidRPr="00CB24F5">
        <w:rPr>
          <w:rFonts w:cstheme="minorHAnsi"/>
          <w:sz w:val="24"/>
          <w:szCs w:val="24"/>
        </w:rPr>
        <w:t>4, 7, 14, and 21 days</w:t>
      </w:r>
      <w:proofErr w:type="gramEnd"/>
      <w:r w:rsidRPr="00CB24F5">
        <w:rPr>
          <w:rFonts w:cstheme="minorHAnsi"/>
          <w:sz w:val="24"/>
          <w:szCs w:val="24"/>
        </w:rPr>
        <w:t xml:space="preserve"> post-inoculation, a disease severity rating was assigned to each spike on a scale of 0-9 (see Figure 1). At 28 days post-inoculation, spikes were cut from the plant at the base of the head, individually wrapped, flash-frozen in liquid nitrogen, and stored in -80° C until ready for further molecular analysis.</w:t>
      </w:r>
    </w:p>
    <w:p w14:paraId="68371D67" w14:textId="153ED18A" w:rsidR="00186C0E" w:rsidRPr="00CB24F5" w:rsidRDefault="6DC52871" w:rsidP="6DC52871">
      <w:pPr>
        <w:rPr>
          <w:rFonts w:cstheme="minorHAnsi"/>
          <w:b/>
          <w:bCs/>
          <w:sz w:val="24"/>
          <w:szCs w:val="24"/>
        </w:rPr>
      </w:pPr>
      <w:r w:rsidRPr="00CB24F5">
        <w:rPr>
          <w:rFonts w:cstheme="minorHAnsi"/>
          <w:b/>
          <w:bCs/>
          <w:sz w:val="24"/>
          <w:szCs w:val="24"/>
        </w:rPr>
        <w:t>RESULTS AND DISCUSSION</w:t>
      </w:r>
    </w:p>
    <w:p w14:paraId="2AEDF3A9" w14:textId="1407AD1B" w:rsidR="00186C0E" w:rsidRPr="00CB24F5" w:rsidRDefault="6DC52871" w:rsidP="6DC52871">
      <w:pPr>
        <w:rPr>
          <w:rFonts w:cstheme="minorHAnsi"/>
          <w:sz w:val="24"/>
          <w:szCs w:val="24"/>
        </w:rPr>
      </w:pPr>
      <w:r w:rsidRPr="00CB24F5">
        <w:rPr>
          <w:rFonts w:cstheme="minorHAnsi"/>
          <w:sz w:val="24"/>
          <w:szCs w:val="24"/>
        </w:rPr>
        <w:t xml:space="preserve">Two-way ANOVA was used to analyze effects of genotype and treatment on visual FHB rating (see Table 1). There was a significant replication effect in these preliminary trials (p&lt;0.01 at all timepoints) and research continues at the Ottawa Research and Development Centre. In the first two replicates, the plastic bags covered the entire pot and were removed after 72 hours. However, for the third replicate, the awns of each desired head were trimmed, the head was spray-inoculated and individually bagged, and was never removed for the remainder of the experiment, potentially explaining differences in replications. The decision to transition to </w:t>
      </w:r>
      <w:r w:rsidRPr="00CB24F5">
        <w:rPr>
          <w:rFonts w:cstheme="minorHAnsi"/>
          <w:sz w:val="24"/>
          <w:szCs w:val="24"/>
        </w:rPr>
        <w:lastRenderedPageBreak/>
        <w:t>individually bagging spikes stemmed from an effort to limit: 1) contamination between treatments, and 2) growth of foliar pathogens like mildews and molds.</w:t>
      </w:r>
    </w:p>
    <w:p w14:paraId="21446445" w14:textId="00D9D344" w:rsidR="00186C0E" w:rsidRPr="00CB24F5" w:rsidRDefault="6DC52871" w:rsidP="6DC52871">
      <w:pPr>
        <w:rPr>
          <w:rFonts w:cstheme="minorHAnsi"/>
          <w:sz w:val="24"/>
          <w:szCs w:val="24"/>
        </w:rPr>
      </w:pPr>
      <w:r w:rsidRPr="00CB24F5">
        <w:rPr>
          <w:rFonts w:cstheme="minorHAnsi"/>
          <w:sz w:val="24"/>
          <w:szCs w:val="24"/>
        </w:rPr>
        <w:t>The current data reflected a significant treatment effect at all stages of disease (p&lt;0.0001), while the genotype effect in early stages of disease became not significant as disease progressed (p&gt;0.5).</w:t>
      </w:r>
    </w:p>
    <w:p w14:paraId="5A47B542" w14:textId="56675D6A" w:rsidR="00186C0E" w:rsidRPr="00CB24F5" w:rsidRDefault="6DC52871" w:rsidP="6DC52871">
      <w:pPr>
        <w:rPr>
          <w:rFonts w:cstheme="minorHAnsi"/>
          <w:sz w:val="24"/>
          <w:szCs w:val="24"/>
        </w:rPr>
      </w:pPr>
      <w:r w:rsidRPr="00CB24F5">
        <w:rPr>
          <w:rFonts w:cstheme="minorHAnsi"/>
          <w:sz w:val="24"/>
          <w:szCs w:val="24"/>
        </w:rPr>
        <w:t xml:space="preserve">Pairwise comparisons revealed </w:t>
      </w:r>
      <w:proofErr w:type="spellStart"/>
      <w:proofErr w:type="gramStart"/>
      <w:r w:rsidRPr="00CB24F5">
        <w:rPr>
          <w:rFonts w:cstheme="minorHAnsi"/>
          <w:i/>
          <w:iCs/>
          <w:sz w:val="24"/>
          <w:szCs w:val="24"/>
        </w:rPr>
        <w:t>Fg</w:t>
      </w:r>
      <w:proofErr w:type="spellEnd"/>
      <w:proofErr w:type="gramEnd"/>
      <w:r w:rsidRPr="00CB24F5">
        <w:rPr>
          <w:rFonts w:cstheme="minorHAnsi"/>
          <w:sz w:val="24"/>
          <w:szCs w:val="24"/>
        </w:rPr>
        <w:t xml:space="preserve"> and co-inoculation were significantly different from the control (p&lt;0.001</w:t>
      </w:r>
      <w:r w:rsidR="0035282B" w:rsidRPr="00CB24F5">
        <w:rPr>
          <w:rFonts w:cstheme="minorHAnsi"/>
          <w:sz w:val="24"/>
          <w:szCs w:val="24"/>
        </w:rPr>
        <w:t>, see Table 2</w:t>
      </w:r>
      <w:r w:rsidRPr="00CB24F5">
        <w:rPr>
          <w:rFonts w:cstheme="minorHAnsi"/>
          <w:sz w:val="24"/>
          <w:szCs w:val="24"/>
        </w:rPr>
        <w:t xml:space="preserve">). FHB ratings from </w:t>
      </w:r>
      <w:proofErr w:type="spellStart"/>
      <w:r w:rsidRPr="00CB24F5">
        <w:rPr>
          <w:rFonts w:cstheme="minorHAnsi"/>
          <w:i/>
          <w:iCs/>
          <w:sz w:val="24"/>
          <w:szCs w:val="24"/>
        </w:rPr>
        <w:t>Fp</w:t>
      </w:r>
      <w:proofErr w:type="spellEnd"/>
      <w:r w:rsidRPr="00CB24F5">
        <w:rPr>
          <w:rFonts w:cstheme="minorHAnsi"/>
          <w:sz w:val="24"/>
          <w:szCs w:val="24"/>
        </w:rPr>
        <w:t xml:space="preserve"> alone were significantly lower than FHB ratings in </w:t>
      </w:r>
      <w:proofErr w:type="spellStart"/>
      <w:r w:rsidRPr="00CB24F5">
        <w:rPr>
          <w:rFonts w:cstheme="minorHAnsi"/>
          <w:i/>
          <w:iCs/>
          <w:sz w:val="24"/>
          <w:szCs w:val="24"/>
        </w:rPr>
        <w:t>Fg</w:t>
      </w:r>
      <w:proofErr w:type="spellEnd"/>
      <w:r w:rsidRPr="00CB24F5">
        <w:rPr>
          <w:rFonts w:cstheme="minorHAnsi"/>
          <w:sz w:val="24"/>
          <w:szCs w:val="24"/>
        </w:rPr>
        <w:t xml:space="preserve"> alone. In early disease progression, </w:t>
      </w:r>
      <w:proofErr w:type="spellStart"/>
      <w:r w:rsidRPr="00CB24F5">
        <w:rPr>
          <w:rFonts w:cstheme="minorHAnsi"/>
          <w:i/>
          <w:iCs/>
          <w:sz w:val="24"/>
          <w:szCs w:val="24"/>
        </w:rPr>
        <w:t>Fp</w:t>
      </w:r>
      <w:proofErr w:type="spellEnd"/>
      <w:r w:rsidRPr="00CB24F5">
        <w:rPr>
          <w:rFonts w:cstheme="minorHAnsi"/>
          <w:sz w:val="24"/>
          <w:szCs w:val="24"/>
        </w:rPr>
        <w:t xml:space="preserve"> alone was not significantly different from the control </w:t>
      </w:r>
      <w:proofErr w:type="gramStart"/>
      <w:r w:rsidRPr="00CB24F5">
        <w:rPr>
          <w:rFonts w:cstheme="minorHAnsi"/>
          <w:sz w:val="24"/>
          <w:szCs w:val="24"/>
        </w:rPr>
        <w:t>treatment, but</w:t>
      </w:r>
      <w:proofErr w:type="gramEnd"/>
      <w:r w:rsidRPr="00CB24F5">
        <w:rPr>
          <w:rFonts w:cstheme="minorHAnsi"/>
          <w:sz w:val="24"/>
          <w:szCs w:val="24"/>
        </w:rPr>
        <w:t xml:space="preserve"> was significant at 14 days post inoculation and beyond. However, when compared to the co-inoculation treatment, the opposite effect was observed where at 21 days post inoculation the</w:t>
      </w:r>
      <w:r w:rsidRPr="00CB24F5">
        <w:rPr>
          <w:rFonts w:cstheme="minorHAnsi"/>
          <w:i/>
          <w:iCs/>
          <w:sz w:val="24"/>
          <w:szCs w:val="24"/>
        </w:rPr>
        <w:t xml:space="preserve"> </w:t>
      </w:r>
      <w:proofErr w:type="spellStart"/>
      <w:r w:rsidRPr="00CB24F5">
        <w:rPr>
          <w:rFonts w:cstheme="minorHAnsi"/>
          <w:i/>
          <w:iCs/>
          <w:sz w:val="24"/>
          <w:szCs w:val="24"/>
        </w:rPr>
        <w:t>Fp</w:t>
      </w:r>
      <w:proofErr w:type="spellEnd"/>
      <w:r w:rsidRPr="00CB24F5">
        <w:rPr>
          <w:rFonts w:cstheme="minorHAnsi"/>
          <w:sz w:val="24"/>
          <w:szCs w:val="24"/>
        </w:rPr>
        <w:t xml:space="preserve"> and </w:t>
      </w:r>
      <w:proofErr w:type="spellStart"/>
      <w:r w:rsidRPr="00CB24F5">
        <w:rPr>
          <w:rFonts w:cstheme="minorHAnsi"/>
          <w:i/>
          <w:iCs/>
          <w:sz w:val="24"/>
          <w:szCs w:val="24"/>
        </w:rPr>
        <w:t>Fg+Fp</w:t>
      </w:r>
      <w:proofErr w:type="spellEnd"/>
      <w:r w:rsidRPr="00CB24F5">
        <w:rPr>
          <w:rFonts w:cstheme="minorHAnsi"/>
          <w:sz w:val="24"/>
          <w:szCs w:val="24"/>
        </w:rPr>
        <w:t xml:space="preserve"> became significantly different.</w:t>
      </w:r>
    </w:p>
    <w:p w14:paraId="61CEBA75" w14:textId="26B49AC7" w:rsidR="00186C0E" w:rsidRPr="00CB24F5" w:rsidRDefault="6DC52871" w:rsidP="6DC52871">
      <w:pPr>
        <w:rPr>
          <w:rFonts w:cstheme="minorHAnsi"/>
          <w:sz w:val="24"/>
          <w:szCs w:val="24"/>
        </w:rPr>
      </w:pPr>
      <w:proofErr w:type="spellStart"/>
      <w:r w:rsidRPr="00CB24F5">
        <w:rPr>
          <w:rFonts w:cstheme="minorHAnsi"/>
          <w:i/>
          <w:iCs/>
          <w:sz w:val="24"/>
          <w:szCs w:val="24"/>
        </w:rPr>
        <w:t>Fg</w:t>
      </w:r>
      <w:proofErr w:type="spellEnd"/>
      <w:r w:rsidRPr="00CB24F5">
        <w:rPr>
          <w:rFonts w:cstheme="minorHAnsi"/>
          <w:sz w:val="24"/>
          <w:szCs w:val="24"/>
        </w:rPr>
        <w:t xml:space="preserve">-infected heads has the highest visual FHB ratings, and </w:t>
      </w:r>
      <w:proofErr w:type="spellStart"/>
      <w:r w:rsidRPr="00CB24F5">
        <w:rPr>
          <w:rFonts w:cstheme="minorHAnsi"/>
          <w:i/>
          <w:iCs/>
          <w:sz w:val="24"/>
          <w:szCs w:val="24"/>
        </w:rPr>
        <w:t>Fp</w:t>
      </w:r>
      <w:proofErr w:type="spellEnd"/>
      <w:r w:rsidRPr="00CB24F5">
        <w:rPr>
          <w:rFonts w:cstheme="minorHAnsi"/>
          <w:sz w:val="24"/>
          <w:szCs w:val="24"/>
        </w:rPr>
        <w:t xml:space="preserve">-infected heads had the lowest, corroborating other reports that </w:t>
      </w:r>
      <w:proofErr w:type="spellStart"/>
      <w:r w:rsidRPr="00CB24F5">
        <w:rPr>
          <w:rFonts w:cstheme="minorHAnsi"/>
          <w:i/>
          <w:iCs/>
          <w:sz w:val="24"/>
          <w:szCs w:val="24"/>
        </w:rPr>
        <w:t>Fg</w:t>
      </w:r>
      <w:proofErr w:type="spellEnd"/>
      <w:r w:rsidRPr="00CB24F5">
        <w:rPr>
          <w:rFonts w:cstheme="minorHAnsi"/>
          <w:sz w:val="24"/>
          <w:szCs w:val="24"/>
        </w:rPr>
        <w:t xml:space="preserve"> is more aggressive than </w:t>
      </w:r>
      <w:r w:rsidRPr="00CB24F5">
        <w:rPr>
          <w:rFonts w:cstheme="minorHAnsi"/>
          <w:i/>
          <w:iCs/>
          <w:sz w:val="24"/>
          <w:szCs w:val="24"/>
        </w:rPr>
        <w:t>Fp</w:t>
      </w:r>
      <w:r w:rsidRPr="00CB24F5">
        <w:rPr>
          <w:rFonts w:cstheme="minorHAnsi"/>
          <w:sz w:val="24"/>
          <w:szCs w:val="24"/>
        </w:rPr>
        <w:t xml:space="preserve">. Co-inoculation with </w:t>
      </w:r>
      <w:proofErr w:type="spellStart"/>
      <w:r w:rsidRPr="00CB24F5">
        <w:rPr>
          <w:rFonts w:cstheme="minorHAnsi"/>
          <w:i/>
          <w:iCs/>
          <w:sz w:val="24"/>
          <w:szCs w:val="24"/>
        </w:rPr>
        <w:t>Fg+Fp</w:t>
      </w:r>
      <w:proofErr w:type="spellEnd"/>
      <w:r w:rsidRPr="00CB24F5">
        <w:rPr>
          <w:rFonts w:cstheme="minorHAnsi"/>
          <w:sz w:val="24"/>
          <w:szCs w:val="24"/>
        </w:rPr>
        <w:t xml:space="preserve"> returned lower visual FHB ratings, suggesting that </w:t>
      </w:r>
      <w:proofErr w:type="spellStart"/>
      <w:r w:rsidRPr="00CB24F5">
        <w:rPr>
          <w:rFonts w:cstheme="minorHAnsi"/>
          <w:i/>
          <w:iCs/>
          <w:sz w:val="24"/>
          <w:szCs w:val="24"/>
        </w:rPr>
        <w:t>Fp</w:t>
      </w:r>
      <w:proofErr w:type="spellEnd"/>
      <w:r w:rsidRPr="00CB24F5">
        <w:rPr>
          <w:rFonts w:cstheme="minorHAnsi"/>
          <w:sz w:val="24"/>
          <w:szCs w:val="24"/>
        </w:rPr>
        <w:t xml:space="preserve"> may be competing with </w:t>
      </w:r>
      <w:proofErr w:type="spellStart"/>
      <w:r w:rsidRPr="00CB24F5">
        <w:rPr>
          <w:rFonts w:cstheme="minorHAnsi"/>
          <w:i/>
          <w:iCs/>
          <w:sz w:val="24"/>
          <w:szCs w:val="24"/>
        </w:rPr>
        <w:t>Fg</w:t>
      </w:r>
      <w:proofErr w:type="spellEnd"/>
      <w:r w:rsidRPr="00CB24F5">
        <w:rPr>
          <w:rFonts w:cstheme="minorHAnsi"/>
          <w:sz w:val="24"/>
          <w:szCs w:val="24"/>
        </w:rPr>
        <w:t>, but from our pairwise comparisons of the current data, the difference observed is not significant.</w:t>
      </w:r>
    </w:p>
    <w:p w14:paraId="48BD7E33" w14:textId="77777777" w:rsidR="00642C96" w:rsidRPr="00CB24F5" w:rsidRDefault="6DC52871" w:rsidP="00642C96">
      <w:pPr>
        <w:rPr>
          <w:rFonts w:cstheme="minorHAnsi"/>
          <w:sz w:val="24"/>
          <w:szCs w:val="24"/>
        </w:rPr>
      </w:pPr>
      <w:r w:rsidRPr="00CB24F5">
        <w:rPr>
          <w:rFonts w:cstheme="minorHAnsi"/>
          <w:sz w:val="24"/>
          <w:szCs w:val="24"/>
        </w:rPr>
        <w:t xml:space="preserve">To increase confidence in our findings, we will be repeating the indoor growth cabinet study, and then proceeding to a molecular analysis of the grain. From flour, fungal DNA will be extracted and </w:t>
      </w:r>
      <w:proofErr w:type="spellStart"/>
      <w:r w:rsidRPr="00CB24F5">
        <w:rPr>
          <w:rFonts w:cstheme="minorHAnsi"/>
          <w:sz w:val="24"/>
          <w:szCs w:val="24"/>
        </w:rPr>
        <w:t>ddPCR</w:t>
      </w:r>
      <w:proofErr w:type="spellEnd"/>
      <w:r w:rsidRPr="00CB24F5">
        <w:rPr>
          <w:rFonts w:cstheme="minorHAnsi"/>
          <w:sz w:val="24"/>
          <w:szCs w:val="24"/>
        </w:rPr>
        <w:t xml:space="preserve"> will be used to identify the dominant species and contaminants in each treatment. Metabolomic analysis will be completed by High Performance Liquid Chromatography-Mass Spectrometry (HPLC-MS) to observe differences in metabolite profiles between treatments. There is generally a positive correlation between visual disease symptoms and mycotoxin levels </w:t>
      </w:r>
      <w:r w:rsidR="00642C96" w:rsidRPr="00CB24F5">
        <w:rPr>
          <w:rFonts w:cstheme="minorHAnsi"/>
          <w:sz w:val="24"/>
          <w:szCs w:val="24"/>
        </w:rPr>
        <w:t xml:space="preserve">in the grain, but visual FHB symptoms are not required for the accumulation of mycotoxins. An </w:t>
      </w:r>
      <w:r w:rsidR="00642C96" w:rsidRPr="00CB24F5">
        <w:rPr>
          <w:rFonts w:cstheme="minorHAnsi"/>
          <w:i/>
          <w:iCs/>
          <w:sz w:val="24"/>
          <w:szCs w:val="24"/>
        </w:rPr>
        <w:t>in vitro</w:t>
      </w:r>
      <w:r w:rsidR="00642C96" w:rsidRPr="00CB24F5">
        <w:rPr>
          <w:rFonts w:cstheme="minorHAnsi"/>
          <w:sz w:val="24"/>
          <w:szCs w:val="24"/>
        </w:rPr>
        <w:t xml:space="preserve"> interaction study of the two specific isolates has also been performed and data analysis is in progress.</w:t>
      </w:r>
    </w:p>
    <w:p w14:paraId="41D1C70B" w14:textId="77777777" w:rsidR="00642C96" w:rsidRPr="00CB24F5" w:rsidRDefault="00642C96" w:rsidP="00642C96">
      <w:pPr>
        <w:rPr>
          <w:rFonts w:cstheme="minorHAnsi"/>
          <w:b/>
          <w:bCs/>
          <w:sz w:val="24"/>
          <w:szCs w:val="24"/>
        </w:rPr>
      </w:pPr>
      <w:r w:rsidRPr="00CB24F5">
        <w:rPr>
          <w:rFonts w:cstheme="minorHAnsi"/>
          <w:b/>
          <w:bCs/>
          <w:sz w:val="24"/>
          <w:szCs w:val="24"/>
        </w:rPr>
        <w:t>REFERENCES:</w:t>
      </w:r>
    </w:p>
    <w:p w14:paraId="0C027A16" w14:textId="7133FE77" w:rsidR="00642C96" w:rsidRPr="00CB24F5" w:rsidRDefault="00052F80" w:rsidP="6DC52871">
      <w:pPr>
        <w:rPr>
          <w:rFonts w:cstheme="minorHAnsi"/>
          <w:sz w:val="24"/>
          <w:szCs w:val="24"/>
        </w:rPr>
      </w:pPr>
      <w:r w:rsidRPr="00CB24F5">
        <w:rPr>
          <w:rFonts w:cstheme="minorHAnsi"/>
          <w:sz w:val="24"/>
          <w:szCs w:val="24"/>
        </w:rPr>
        <w:t xml:space="preserve">B.D. McCallum &amp; A. </w:t>
      </w:r>
      <w:proofErr w:type="spellStart"/>
      <w:r w:rsidRPr="00CB24F5">
        <w:rPr>
          <w:rFonts w:cstheme="minorHAnsi"/>
          <w:sz w:val="24"/>
          <w:szCs w:val="24"/>
        </w:rPr>
        <w:t>Tekauz</w:t>
      </w:r>
      <w:proofErr w:type="spellEnd"/>
      <w:r w:rsidRPr="00CB24F5">
        <w:rPr>
          <w:rFonts w:cstheme="minorHAnsi"/>
          <w:sz w:val="24"/>
          <w:szCs w:val="24"/>
        </w:rPr>
        <w:t xml:space="preserve"> (2002) Influence of inoculation method and growth stage on fusarium head blight in barley, Canadian Journal of Plant Pathology, 24:1, 77-80, DOI: 10.1080/07060660109506976</w:t>
      </w:r>
    </w:p>
    <w:p w14:paraId="72B61E94" w14:textId="7744A2DC" w:rsidR="00052F80" w:rsidRPr="00CB24F5" w:rsidRDefault="00052F80" w:rsidP="6DC52871">
      <w:pPr>
        <w:rPr>
          <w:rFonts w:cstheme="minorHAnsi"/>
          <w:sz w:val="24"/>
          <w:szCs w:val="24"/>
        </w:rPr>
      </w:pPr>
      <w:r w:rsidRPr="00CB24F5">
        <w:rPr>
          <w:rFonts w:cstheme="minorHAnsi"/>
          <w:sz w:val="24"/>
          <w:szCs w:val="24"/>
        </w:rPr>
        <w:t xml:space="preserve">Allen G. </w:t>
      </w:r>
      <w:proofErr w:type="spellStart"/>
      <w:r w:rsidRPr="00CB24F5">
        <w:rPr>
          <w:rFonts w:cstheme="minorHAnsi"/>
          <w:sz w:val="24"/>
          <w:szCs w:val="24"/>
        </w:rPr>
        <w:t>Xue</w:t>
      </w:r>
      <w:proofErr w:type="spellEnd"/>
      <w:r w:rsidRPr="00CB24F5">
        <w:rPr>
          <w:rFonts w:cstheme="minorHAnsi"/>
          <w:sz w:val="24"/>
          <w:szCs w:val="24"/>
        </w:rPr>
        <w:t xml:space="preserve">, </w:t>
      </w:r>
      <w:proofErr w:type="spellStart"/>
      <w:r w:rsidRPr="00CB24F5">
        <w:rPr>
          <w:rFonts w:cstheme="minorHAnsi"/>
          <w:sz w:val="24"/>
          <w:szCs w:val="24"/>
        </w:rPr>
        <w:t>Yuanhong</w:t>
      </w:r>
      <w:proofErr w:type="spellEnd"/>
      <w:r w:rsidRPr="00CB24F5">
        <w:rPr>
          <w:rFonts w:cstheme="minorHAnsi"/>
          <w:sz w:val="24"/>
          <w:szCs w:val="24"/>
        </w:rPr>
        <w:t xml:space="preserve"> Chen, Keith Seifert, Wei Guo, Barbara A. Blackwell, Linda J. Harris &amp; David P. </w:t>
      </w:r>
      <w:proofErr w:type="spellStart"/>
      <w:r w:rsidRPr="00CB24F5">
        <w:rPr>
          <w:rFonts w:cstheme="minorHAnsi"/>
          <w:sz w:val="24"/>
          <w:szCs w:val="24"/>
        </w:rPr>
        <w:t>Overy</w:t>
      </w:r>
      <w:proofErr w:type="spellEnd"/>
      <w:r w:rsidRPr="00CB24F5">
        <w:rPr>
          <w:rFonts w:cstheme="minorHAnsi"/>
          <w:sz w:val="24"/>
          <w:szCs w:val="24"/>
        </w:rPr>
        <w:t xml:space="preserve"> (2019) Prevalence of Fusarium species causing head blight of spring wheat, </w:t>
      </w:r>
      <w:proofErr w:type="gramStart"/>
      <w:r w:rsidRPr="00CB24F5">
        <w:rPr>
          <w:rFonts w:cstheme="minorHAnsi"/>
          <w:sz w:val="24"/>
          <w:szCs w:val="24"/>
        </w:rPr>
        <w:t>barley</w:t>
      </w:r>
      <w:proofErr w:type="gramEnd"/>
      <w:r w:rsidRPr="00CB24F5">
        <w:rPr>
          <w:rFonts w:cstheme="minorHAnsi"/>
          <w:sz w:val="24"/>
          <w:szCs w:val="24"/>
        </w:rPr>
        <w:t xml:space="preserve"> and oat in Ontario during 2001–2017, Canadian Journal of Plant Pathology, 41:3, 392-402, DOI: 10.1080/07060661.2019.1582560</w:t>
      </w:r>
    </w:p>
    <w:p w14:paraId="09ED2320" w14:textId="232A77AB" w:rsidR="00642C96" w:rsidRPr="00CB24F5" w:rsidRDefault="009A1A9D" w:rsidP="6DC52871">
      <w:pPr>
        <w:rPr>
          <w:rFonts w:cstheme="minorHAnsi"/>
          <w:sz w:val="24"/>
          <w:szCs w:val="24"/>
        </w:rPr>
      </w:pPr>
      <w:r w:rsidRPr="00CB24F5">
        <w:rPr>
          <w:rFonts w:cstheme="minorHAnsi"/>
          <w:sz w:val="24"/>
          <w:szCs w:val="24"/>
        </w:rPr>
        <w:lastRenderedPageBreak/>
        <w:t xml:space="preserve">Allen G. </w:t>
      </w:r>
      <w:proofErr w:type="spellStart"/>
      <w:r w:rsidRPr="00CB24F5">
        <w:rPr>
          <w:rFonts w:cstheme="minorHAnsi"/>
          <w:sz w:val="24"/>
          <w:szCs w:val="24"/>
        </w:rPr>
        <w:t>Xue</w:t>
      </w:r>
      <w:proofErr w:type="spellEnd"/>
      <w:r w:rsidRPr="00CB24F5">
        <w:rPr>
          <w:rFonts w:cstheme="minorHAnsi"/>
          <w:sz w:val="24"/>
          <w:szCs w:val="24"/>
        </w:rPr>
        <w:t xml:space="preserve">, </w:t>
      </w:r>
      <w:proofErr w:type="spellStart"/>
      <w:r w:rsidRPr="00CB24F5">
        <w:rPr>
          <w:rFonts w:cstheme="minorHAnsi"/>
          <w:sz w:val="24"/>
          <w:szCs w:val="24"/>
        </w:rPr>
        <w:t>Keh</w:t>
      </w:r>
      <w:proofErr w:type="spellEnd"/>
      <w:r w:rsidRPr="00CB24F5">
        <w:rPr>
          <w:rFonts w:cstheme="minorHAnsi"/>
          <w:sz w:val="24"/>
          <w:szCs w:val="24"/>
        </w:rPr>
        <w:t xml:space="preserve"> Ming Ho, Gail Butler, Bernard J. </w:t>
      </w:r>
      <w:proofErr w:type="spellStart"/>
      <w:r w:rsidRPr="00CB24F5">
        <w:rPr>
          <w:rFonts w:cstheme="minorHAnsi"/>
          <w:sz w:val="24"/>
          <w:szCs w:val="24"/>
        </w:rPr>
        <w:t>Vigier</w:t>
      </w:r>
      <w:proofErr w:type="spellEnd"/>
      <w:r w:rsidRPr="00CB24F5">
        <w:rPr>
          <w:rFonts w:cstheme="minorHAnsi"/>
          <w:sz w:val="24"/>
          <w:szCs w:val="24"/>
        </w:rPr>
        <w:t xml:space="preserve"> &amp; Carolyn Babcock (2006) </w:t>
      </w:r>
      <w:r w:rsidRPr="00CB24F5">
        <w:rPr>
          <w:rFonts w:cstheme="minorHAnsi"/>
          <w:sz w:val="24"/>
          <w:szCs w:val="24"/>
        </w:rPr>
        <w:t>Pathogenicity of Fusarium species causing head blight in barley</w:t>
      </w:r>
      <w:r w:rsidRPr="00CB24F5">
        <w:rPr>
          <w:rFonts w:cstheme="minorHAnsi"/>
          <w:sz w:val="24"/>
          <w:szCs w:val="24"/>
        </w:rPr>
        <w:t xml:space="preserve">, </w:t>
      </w:r>
      <w:proofErr w:type="spellStart"/>
      <w:r w:rsidRPr="00CB24F5">
        <w:rPr>
          <w:rFonts w:cstheme="minorHAnsi"/>
          <w:sz w:val="24"/>
          <w:szCs w:val="24"/>
        </w:rPr>
        <w:t>Phytoprotection</w:t>
      </w:r>
      <w:proofErr w:type="spellEnd"/>
      <w:r w:rsidRPr="00CB24F5">
        <w:rPr>
          <w:rFonts w:cstheme="minorHAnsi"/>
          <w:sz w:val="24"/>
          <w:szCs w:val="24"/>
        </w:rPr>
        <w:t xml:space="preserve">, 87:2, 55-61, DOI: </w:t>
      </w:r>
      <w:r w:rsidRPr="00CB24F5">
        <w:rPr>
          <w:rFonts w:cstheme="minorHAnsi"/>
          <w:sz w:val="24"/>
          <w:szCs w:val="24"/>
        </w:rPr>
        <w:t>10.7202/013973ar</w:t>
      </w:r>
    </w:p>
    <w:p w14:paraId="02592BA0" w14:textId="77777777" w:rsidR="00642C96" w:rsidRDefault="00642C96" w:rsidP="6DC52871">
      <w:pPr>
        <w:rPr>
          <w:rFonts w:ascii="Times New Roman" w:hAnsi="Times New Roman" w:cs="Times New Roman"/>
          <w:sz w:val="24"/>
          <w:szCs w:val="24"/>
        </w:rPr>
      </w:pPr>
    </w:p>
    <w:p w14:paraId="290F16D5" w14:textId="79E33FDC" w:rsidR="00642C96" w:rsidRDefault="00642C96" w:rsidP="6DC52871">
      <w:pP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1E8E4774" wp14:editId="2BF70C9D">
                <wp:simplePos x="0" y="0"/>
                <wp:positionH relativeFrom="column">
                  <wp:posOffset>-31750</wp:posOffset>
                </wp:positionH>
                <wp:positionV relativeFrom="paragraph">
                  <wp:posOffset>3144520</wp:posOffset>
                </wp:positionV>
                <wp:extent cx="6343650" cy="717550"/>
                <wp:effectExtent l="0" t="0" r="0" b="6350"/>
                <wp:wrapTopAndBottom/>
                <wp:docPr id="1" name="Text Box 1"/>
                <wp:cNvGraphicFramePr/>
                <a:graphic xmlns:a="http://schemas.openxmlformats.org/drawingml/2006/main">
                  <a:graphicData uri="http://schemas.microsoft.com/office/word/2010/wordprocessingShape">
                    <wps:wsp>
                      <wps:cNvSpPr txBox="1"/>
                      <wps:spPr>
                        <a:xfrm>
                          <a:off x="0" y="0"/>
                          <a:ext cx="6343650" cy="717550"/>
                        </a:xfrm>
                        <a:prstGeom prst="rect">
                          <a:avLst/>
                        </a:prstGeom>
                        <a:solidFill>
                          <a:prstClr val="white"/>
                        </a:solidFill>
                        <a:ln>
                          <a:noFill/>
                        </a:ln>
                      </wps:spPr>
                      <wps:txbx>
                        <w:txbxContent>
                          <w:p w14:paraId="0AF4DD37" w14:textId="25A2856E" w:rsidR="00706DA8" w:rsidRPr="00CB24F5" w:rsidRDefault="00706DA8" w:rsidP="00706DA8">
                            <w:pPr>
                              <w:pStyle w:val="Caption"/>
                              <w:rPr>
                                <w:rFonts w:cstheme="minorHAnsi"/>
                                <w:b/>
                                <w:bCs/>
                                <w:noProof/>
                                <w:color w:val="auto"/>
                              </w:rPr>
                            </w:pPr>
                            <w:r w:rsidRPr="00CB24F5">
                              <w:rPr>
                                <w:rFonts w:cstheme="minorHAnsi"/>
                                <w:b/>
                                <w:bCs/>
                                <w:color w:val="auto"/>
                              </w:rPr>
                              <w:t xml:space="preserve">Figure </w:t>
                            </w:r>
                            <w:r w:rsidRPr="00CB24F5">
                              <w:rPr>
                                <w:rFonts w:cstheme="minorHAnsi"/>
                                <w:b/>
                                <w:bCs/>
                                <w:color w:val="auto"/>
                              </w:rPr>
                              <w:fldChar w:fldCharType="begin"/>
                            </w:r>
                            <w:r w:rsidRPr="00CB24F5">
                              <w:rPr>
                                <w:rFonts w:cstheme="minorHAnsi"/>
                                <w:b/>
                                <w:bCs/>
                                <w:color w:val="auto"/>
                              </w:rPr>
                              <w:instrText xml:space="preserve"> SEQ Figure \* ARABIC </w:instrText>
                            </w:r>
                            <w:r w:rsidRPr="00CB24F5">
                              <w:rPr>
                                <w:rFonts w:cstheme="minorHAnsi"/>
                                <w:b/>
                                <w:bCs/>
                                <w:color w:val="auto"/>
                              </w:rPr>
                              <w:fldChar w:fldCharType="separate"/>
                            </w:r>
                            <w:r w:rsidRPr="00CB24F5">
                              <w:rPr>
                                <w:rFonts w:cstheme="minorHAnsi"/>
                                <w:b/>
                                <w:bCs/>
                                <w:noProof/>
                                <w:color w:val="auto"/>
                              </w:rPr>
                              <w:t>1</w:t>
                            </w:r>
                            <w:r w:rsidRPr="00CB24F5">
                              <w:rPr>
                                <w:rFonts w:cstheme="minorHAnsi"/>
                                <w:b/>
                                <w:bCs/>
                                <w:color w:val="auto"/>
                              </w:rPr>
                              <w:fldChar w:fldCharType="end"/>
                            </w:r>
                            <w:r w:rsidRPr="00CB24F5">
                              <w:rPr>
                                <w:rFonts w:cstheme="minorHAnsi"/>
                                <w:b/>
                                <w:bCs/>
                                <w:color w:val="auto"/>
                              </w:rPr>
                              <w:t xml:space="preserve"> - Mean disease progression per treatment, using visual disease rating scale of 0-9 (0 = no symptoms, 9 = severely diseased, spike dead); 0, no visible symptoms; 1, one diseased spikelet; 2, two diseased </w:t>
                            </w:r>
                            <w:proofErr w:type="spellStart"/>
                            <w:r w:rsidRPr="00CB24F5">
                              <w:rPr>
                                <w:rFonts w:cstheme="minorHAnsi"/>
                                <w:b/>
                                <w:bCs/>
                                <w:color w:val="auto"/>
                              </w:rPr>
                              <w:t>spikelets</w:t>
                            </w:r>
                            <w:proofErr w:type="spellEnd"/>
                            <w:r w:rsidRPr="00CB24F5">
                              <w:rPr>
                                <w:rFonts w:cstheme="minorHAnsi"/>
                                <w:b/>
                                <w:bCs/>
                                <w:color w:val="auto"/>
                              </w:rPr>
                              <w:t xml:space="preserve">; 3, three diseased </w:t>
                            </w:r>
                            <w:proofErr w:type="spellStart"/>
                            <w:r w:rsidRPr="00CB24F5">
                              <w:rPr>
                                <w:rFonts w:cstheme="minorHAnsi"/>
                                <w:b/>
                                <w:bCs/>
                                <w:color w:val="auto"/>
                              </w:rPr>
                              <w:t>spikelets</w:t>
                            </w:r>
                            <w:proofErr w:type="spellEnd"/>
                            <w:r w:rsidRPr="00CB24F5">
                              <w:rPr>
                                <w:rFonts w:cstheme="minorHAnsi"/>
                                <w:b/>
                                <w:bCs/>
                                <w:color w:val="auto"/>
                              </w:rPr>
                              <w:t xml:space="preserve">; 4, &gt;3 diseased </w:t>
                            </w:r>
                            <w:proofErr w:type="spellStart"/>
                            <w:r w:rsidRPr="00CB24F5">
                              <w:rPr>
                                <w:rFonts w:cstheme="minorHAnsi"/>
                                <w:b/>
                                <w:bCs/>
                                <w:color w:val="auto"/>
                              </w:rPr>
                              <w:t>spikelets</w:t>
                            </w:r>
                            <w:proofErr w:type="spellEnd"/>
                            <w:r w:rsidRPr="00CB24F5">
                              <w:rPr>
                                <w:rFonts w:cstheme="minorHAnsi"/>
                                <w:b/>
                                <w:bCs/>
                                <w:color w:val="auto"/>
                              </w:rPr>
                              <w:t xml:space="preserve"> but 1/4 spike area with symptoms (</w:t>
                            </w:r>
                            <w:proofErr w:type="spellStart"/>
                            <w:r w:rsidRPr="00CB24F5">
                              <w:rPr>
                                <w:rFonts w:cstheme="minorHAnsi"/>
                                <w:b/>
                                <w:bCs/>
                                <w:color w:val="auto"/>
                              </w:rPr>
                              <w:t>sas</w:t>
                            </w:r>
                            <w:proofErr w:type="spellEnd"/>
                            <w:r w:rsidRPr="00CB24F5">
                              <w:rPr>
                                <w:rFonts w:cstheme="minorHAnsi"/>
                                <w:b/>
                                <w:bCs/>
                                <w:color w:val="auto"/>
                              </w:rPr>
                              <w:t xml:space="preserve">); 5, &lt;1/3 </w:t>
                            </w:r>
                            <w:proofErr w:type="spellStart"/>
                            <w:r w:rsidRPr="00CB24F5">
                              <w:rPr>
                                <w:rFonts w:cstheme="minorHAnsi"/>
                                <w:b/>
                                <w:bCs/>
                                <w:color w:val="auto"/>
                              </w:rPr>
                              <w:t>sas</w:t>
                            </w:r>
                            <w:proofErr w:type="spellEnd"/>
                            <w:r w:rsidRPr="00CB24F5">
                              <w:rPr>
                                <w:rFonts w:cstheme="minorHAnsi"/>
                                <w:b/>
                                <w:bCs/>
                                <w:color w:val="auto"/>
                              </w:rPr>
                              <w:t xml:space="preserve">; 6, &lt;1/2 </w:t>
                            </w:r>
                            <w:proofErr w:type="spellStart"/>
                            <w:r w:rsidRPr="00CB24F5">
                              <w:rPr>
                                <w:rFonts w:cstheme="minorHAnsi"/>
                                <w:b/>
                                <w:bCs/>
                                <w:color w:val="auto"/>
                              </w:rPr>
                              <w:t>sas</w:t>
                            </w:r>
                            <w:proofErr w:type="spellEnd"/>
                            <w:r w:rsidRPr="00CB24F5">
                              <w:rPr>
                                <w:rFonts w:cstheme="minorHAnsi"/>
                                <w:b/>
                                <w:bCs/>
                                <w:color w:val="auto"/>
                              </w:rPr>
                              <w:t xml:space="preserve">; 7, &lt;2/3 </w:t>
                            </w:r>
                            <w:proofErr w:type="spellStart"/>
                            <w:r w:rsidRPr="00CB24F5">
                              <w:rPr>
                                <w:rFonts w:cstheme="minorHAnsi"/>
                                <w:b/>
                                <w:bCs/>
                                <w:color w:val="auto"/>
                              </w:rPr>
                              <w:t>sas</w:t>
                            </w:r>
                            <w:proofErr w:type="spellEnd"/>
                            <w:r w:rsidRPr="00CB24F5">
                              <w:rPr>
                                <w:rFonts w:cstheme="minorHAnsi"/>
                                <w:b/>
                                <w:bCs/>
                                <w:color w:val="auto"/>
                              </w:rPr>
                              <w:t xml:space="preserve">, slight peduncle discolouration; 8, &lt;3/4 </w:t>
                            </w:r>
                            <w:proofErr w:type="spellStart"/>
                            <w:r w:rsidRPr="00CB24F5">
                              <w:rPr>
                                <w:rFonts w:cstheme="minorHAnsi"/>
                                <w:b/>
                                <w:bCs/>
                                <w:color w:val="auto"/>
                              </w:rPr>
                              <w:t>sas</w:t>
                            </w:r>
                            <w:proofErr w:type="spellEnd"/>
                            <w:r w:rsidRPr="00CB24F5">
                              <w:rPr>
                                <w:rFonts w:cstheme="minorHAnsi"/>
                                <w:b/>
                                <w:bCs/>
                                <w:color w:val="auto"/>
                              </w:rPr>
                              <w:t>, restric</w:t>
                            </w:r>
                            <w:r w:rsidR="00D23C1C" w:rsidRPr="00CB24F5">
                              <w:rPr>
                                <w:rFonts w:cstheme="minorHAnsi"/>
                                <w:b/>
                                <w:bCs/>
                                <w:color w:val="auto"/>
                              </w:rPr>
                              <w:t>t</w:t>
                            </w:r>
                            <w:r w:rsidRPr="00CB24F5">
                              <w:rPr>
                                <w:rFonts w:cstheme="minorHAnsi"/>
                                <w:b/>
                                <w:bCs/>
                                <w:color w:val="auto"/>
                              </w:rPr>
                              <w:t xml:space="preserve">ed peduncle discolouration; 9, &gt;3/4 </w:t>
                            </w:r>
                            <w:proofErr w:type="spellStart"/>
                            <w:r w:rsidRPr="00CB24F5">
                              <w:rPr>
                                <w:rFonts w:cstheme="minorHAnsi"/>
                                <w:b/>
                                <w:bCs/>
                                <w:color w:val="auto"/>
                              </w:rPr>
                              <w:t>sas</w:t>
                            </w:r>
                            <w:proofErr w:type="spellEnd"/>
                            <w:r w:rsidRPr="00CB24F5">
                              <w:rPr>
                                <w:rFonts w:cstheme="minorHAnsi"/>
                                <w:b/>
                                <w:bCs/>
                                <w:color w:val="auto"/>
                              </w:rPr>
                              <w:t>, extended peduncle discolouration, spike dea</w:t>
                            </w:r>
                            <w:r w:rsidR="00D23C1C" w:rsidRPr="00CB24F5">
                              <w:rPr>
                                <w:rFonts w:cstheme="minorHAnsi"/>
                                <w:b/>
                                <w:bCs/>
                                <w:color w:val="auto"/>
                              </w:rPr>
                              <w:t>d. Each replication had 2 pots of each genotype for each treatment to give a total 16 pots per replication.</w:t>
                            </w:r>
                          </w:p>
                          <w:p w14:paraId="1A363176" w14:textId="6ED74BE9" w:rsidR="00706DA8" w:rsidRPr="007B05F5" w:rsidRDefault="00706DA8" w:rsidP="00706DA8">
                            <w:pPr>
                              <w:pStyle w:val="Caption"/>
                              <w:rPr>
                                <w:rFonts w:ascii="Times New Roman" w:hAnsi="Times New Roman" w:cs="Times New Roman"/>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E4774" id="_x0000_t202" coordsize="21600,21600" o:spt="202" path="m,l,21600r21600,l21600,xe">
                <v:stroke joinstyle="miter"/>
                <v:path gradientshapeok="t" o:connecttype="rect"/>
              </v:shapetype>
              <v:shape id="Text Box 1" o:spid="_x0000_s1026" type="#_x0000_t202" style="position:absolute;margin-left:-2.5pt;margin-top:247.6pt;width:49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" stroked="f">
                <v:textbox inset="0,0,0,0">
                  <w:txbxContent>
                    <w:p w14:paraId="0AF4DD37" w14:textId="25A2856E" w:rsidR="00706DA8" w:rsidRPr="00CB24F5" w:rsidRDefault="00706DA8" w:rsidP="00706DA8">
                      <w:pPr>
                        <w:pStyle w:val="Caption"/>
                        <w:rPr>
                          <w:rFonts w:cstheme="minorHAnsi"/>
                          <w:b/>
                          <w:bCs/>
                          <w:noProof/>
                          <w:color w:val="auto"/>
                        </w:rPr>
                      </w:pPr>
                      <w:r w:rsidRPr="00CB24F5">
                        <w:rPr>
                          <w:rFonts w:cstheme="minorHAnsi"/>
                          <w:b/>
                          <w:bCs/>
                          <w:color w:val="auto"/>
                        </w:rPr>
                        <w:t xml:space="preserve">Figure </w:t>
                      </w:r>
                      <w:r w:rsidRPr="00CB24F5">
                        <w:rPr>
                          <w:rFonts w:cstheme="minorHAnsi"/>
                          <w:b/>
                          <w:bCs/>
                          <w:color w:val="auto"/>
                        </w:rPr>
                        <w:fldChar w:fldCharType="begin"/>
                      </w:r>
                      <w:r w:rsidRPr="00CB24F5">
                        <w:rPr>
                          <w:rFonts w:cstheme="minorHAnsi"/>
                          <w:b/>
                          <w:bCs/>
                          <w:color w:val="auto"/>
                        </w:rPr>
                        <w:instrText xml:space="preserve"> SEQ Figure \* ARABIC </w:instrText>
                      </w:r>
                      <w:r w:rsidRPr="00CB24F5">
                        <w:rPr>
                          <w:rFonts w:cstheme="minorHAnsi"/>
                          <w:b/>
                          <w:bCs/>
                          <w:color w:val="auto"/>
                        </w:rPr>
                        <w:fldChar w:fldCharType="separate"/>
                      </w:r>
                      <w:r w:rsidRPr="00CB24F5">
                        <w:rPr>
                          <w:rFonts w:cstheme="minorHAnsi"/>
                          <w:b/>
                          <w:bCs/>
                          <w:noProof/>
                          <w:color w:val="auto"/>
                        </w:rPr>
                        <w:t>1</w:t>
                      </w:r>
                      <w:r w:rsidRPr="00CB24F5">
                        <w:rPr>
                          <w:rFonts w:cstheme="minorHAnsi"/>
                          <w:b/>
                          <w:bCs/>
                          <w:color w:val="auto"/>
                        </w:rPr>
                        <w:fldChar w:fldCharType="end"/>
                      </w:r>
                      <w:r w:rsidRPr="00CB24F5">
                        <w:rPr>
                          <w:rFonts w:cstheme="minorHAnsi"/>
                          <w:b/>
                          <w:bCs/>
                          <w:color w:val="auto"/>
                        </w:rPr>
                        <w:t xml:space="preserve"> - Mean disease progression per treatment, using visual disease rating scale of 0-9 (0 = no symptoms, 9 = severely diseased, spike dead); 0, no visible symptoms; 1, one diseased spikelet; 2, two diseased </w:t>
                      </w:r>
                      <w:proofErr w:type="spellStart"/>
                      <w:r w:rsidRPr="00CB24F5">
                        <w:rPr>
                          <w:rFonts w:cstheme="minorHAnsi"/>
                          <w:b/>
                          <w:bCs/>
                          <w:color w:val="auto"/>
                        </w:rPr>
                        <w:t>spikelets</w:t>
                      </w:r>
                      <w:proofErr w:type="spellEnd"/>
                      <w:r w:rsidRPr="00CB24F5">
                        <w:rPr>
                          <w:rFonts w:cstheme="minorHAnsi"/>
                          <w:b/>
                          <w:bCs/>
                          <w:color w:val="auto"/>
                        </w:rPr>
                        <w:t xml:space="preserve">; 3, three diseased </w:t>
                      </w:r>
                      <w:proofErr w:type="spellStart"/>
                      <w:r w:rsidRPr="00CB24F5">
                        <w:rPr>
                          <w:rFonts w:cstheme="minorHAnsi"/>
                          <w:b/>
                          <w:bCs/>
                          <w:color w:val="auto"/>
                        </w:rPr>
                        <w:t>spikelets</w:t>
                      </w:r>
                      <w:proofErr w:type="spellEnd"/>
                      <w:r w:rsidRPr="00CB24F5">
                        <w:rPr>
                          <w:rFonts w:cstheme="minorHAnsi"/>
                          <w:b/>
                          <w:bCs/>
                          <w:color w:val="auto"/>
                        </w:rPr>
                        <w:t xml:space="preserve">; 4, &gt;3 diseased </w:t>
                      </w:r>
                      <w:proofErr w:type="spellStart"/>
                      <w:r w:rsidRPr="00CB24F5">
                        <w:rPr>
                          <w:rFonts w:cstheme="minorHAnsi"/>
                          <w:b/>
                          <w:bCs/>
                          <w:color w:val="auto"/>
                        </w:rPr>
                        <w:t>spikelets</w:t>
                      </w:r>
                      <w:proofErr w:type="spellEnd"/>
                      <w:r w:rsidRPr="00CB24F5">
                        <w:rPr>
                          <w:rFonts w:cstheme="minorHAnsi"/>
                          <w:b/>
                          <w:bCs/>
                          <w:color w:val="auto"/>
                        </w:rPr>
                        <w:t xml:space="preserve"> but 1/4 spike area with symptoms (</w:t>
                      </w:r>
                      <w:proofErr w:type="spellStart"/>
                      <w:r w:rsidRPr="00CB24F5">
                        <w:rPr>
                          <w:rFonts w:cstheme="minorHAnsi"/>
                          <w:b/>
                          <w:bCs/>
                          <w:color w:val="auto"/>
                        </w:rPr>
                        <w:t>sas</w:t>
                      </w:r>
                      <w:proofErr w:type="spellEnd"/>
                      <w:r w:rsidRPr="00CB24F5">
                        <w:rPr>
                          <w:rFonts w:cstheme="minorHAnsi"/>
                          <w:b/>
                          <w:bCs/>
                          <w:color w:val="auto"/>
                        </w:rPr>
                        <w:t xml:space="preserve">); 5, &lt;1/3 </w:t>
                      </w:r>
                      <w:proofErr w:type="spellStart"/>
                      <w:r w:rsidRPr="00CB24F5">
                        <w:rPr>
                          <w:rFonts w:cstheme="minorHAnsi"/>
                          <w:b/>
                          <w:bCs/>
                          <w:color w:val="auto"/>
                        </w:rPr>
                        <w:t>sas</w:t>
                      </w:r>
                      <w:proofErr w:type="spellEnd"/>
                      <w:r w:rsidRPr="00CB24F5">
                        <w:rPr>
                          <w:rFonts w:cstheme="minorHAnsi"/>
                          <w:b/>
                          <w:bCs/>
                          <w:color w:val="auto"/>
                        </w:rPr>
                        <w:t xml:space="preserve">; 6, &lt;1/2 </w:t>
                      </w:r>
                      <w:proofErr w:type="spellStart"/>
                      <w:r w:rsidRPr="00CB24F5">
                        <w:rPr>
                          <w:rFonts w:cstheme="minorHAnsi"/>
                          <w:b/>
                          <w:bCs/>
                          <w:color w:val="auto"/>
                        </w:rPr>
                        <w:t>sas</w:t>
                      </w:r>
                      <w:proofErr w:type="spellEnd"/>
                      <w:r w:rsidRPr="00CB24F5">
                        <w:rPr>
                          <w:rFonts w:cstheme="minorHAnsi"/>
                          <w:b/>
                          <w:bCs/>
                          <w:color w:val="auto"/>
                        </w:rPr>
                        <w:t xml:space="preserve">; 7, &lt;2/3 </w:t>
                      </w:r>
                      <w:proofErr w:type="spellStart"/>
                      <w:r w:rsidRPr="00CB24F5">
                        <w:rPr>
                          <w:rFonts w:cstheme="minorHAnsi"/>
                          <w:b/>
                          <w:bCs/>
                          <w:color w:val="auto"/>
                        </w:rPr>
                        <w:t>sas</w:t>
                      </w:r>
                      <w:proofErr w:type="spellEnd"/>
                      <w:r w:rsidRPr="00CB24F5">
                        <w:rPr>
                          <w:rFonts w:cstheme="minorHAnsi"/>
                          <w:b/>
                          <w:bCs/>
                          <w:color w:val="auto"/>
                        </w:rPr>
                        <w:t xml:space="preserve">, slight peduncle discolouration; 8, &lt;3/4 </w:t>
                      </w:r>
                      <w:proofErr w:type="spellStart"/>
                      <w:r w:rsidRPr="00CB24F5">
                        <w:rPr>
                          <w:rFonts w:cstheme="minorHAnsi"/>
                          <w:b/>
                          <w:bCs/>
                          <w:color w:val="auto"/>
                        </w:rPr>
                        <w:t>sas</w:t>
                      </w:r>
                      <w:proofErr w:type="spellEnd"/>
                      <w:r w:rsidRPr="00CB24F5">
                        <w:rPr>
                          <w:rFonts w:cstheme="minorHAnsi"/>
                          <w:b/>
                          <w:bCs/>
                          <w:color w:val="auto"/>
                        </w:rPr>
                        <w:t>, restric</w:t>
                      </w:r>
                      <w:r w:rsidR="00D23C1C" w:rsidRPr="00CB24F5">
                        <w:rPr>
                          <w:rFonts w:cstheme="minorHAnsi"/>
                          <w:b/>
                          <w:bCs/>
                          <w:color w:val="auto"/>
                        </w:rPr>
                        <w:t>t</w:t>
                      </w:r>
                      <w:r w:rsidRPr="00CB24F5">
                        <w:rPr>
                          <w:rFonts w:cstheme="minorHAnsi"/>
                          <w:b/>
                          <w:bCs/>
                          <w:color w:val="auto"/>
                        </w:rPr>
                        <w:t xml:space="preserve">ed peduncle discolouration; 9, &gt;3/4 </w:t>
                      </w:r>
                      <w:proofErr w:type="spellStart"/>
                      <w:r w:rsidRPr="00CB24F5">
                        <w:rPr>
                          <w:rFonts w:cstheme="minorHAnsi"/>
                          <w:b/>
                          <w:bCs/>
                          <w:color w:val="auto"/>
                        </w:rPr>
                        <w:t>sas</w:t>
                      </w:r>
                      <w:proofErr w:type="spellEnd"/>
                      <w:r w:rsidRPr="00CB24F5">
                        <w:rPr>
                          <w:rFonts w:cstheme="minorHAnsi"/>
                          <w:b/>
                          <w:bCs/>
                          <w:color w:val="auto"/>
                        </w:rPr>
                        <w:t>, extended peduncle discolouration, spike dea</w:t>
                      </w:r>
                      <w:r w:rsidR="00D23C1C" w:rsidRPr="00CB24F5">
                        <w:rPr>
                          <w:rFonts w:cstheme="minorHAnsi"/>
                          <w:b/>
                          <w:bCs/>
                          <w:color w:val="auto"/>
                        </w:rPr>
                        <w:t>d. Each replication had 2 pots of each genotype for each treatment to give a total 16 pots per replication.</w:t>
                      </w:r>
                    </w:p>
                    <w:p w14:paraId="1A363176" w14:textId="6ED74BE9" w:rsidR="00706DA8" w:rsidRPr="007B05F5" w:rsidRDefault="00706DA8" w:rsidP="00706DA8">
                      <w:pPr>
                        <w:pStyle w:val="Caption"/>
                        <w:rPr>
                          <w:rFonts w:ascii="Times New Roman" w:hAnsi="Times New Roman" w:cs="Times New Roman"/>
                          <w:noProof/>
                          <w:sz w:val="24"/>
                          <w:szCs w:val="24"/>
                        </w:rPr>
                      </w:pPr>
                    </w:p>
                  </w:txbxContent>
                </v:textbox>
                <w10:wrap type="topAndBottom"/>
              </v:shape>
            </w:pict>
          </mc:Fallback>
        </mc:AlternateContent>
      </w:r>
      <w:r>
        <w:rPr>
          <w:rFonts w:ascii="Times New Roman" w:hAnsi="Times New Roman" w:cs="Times New Roman"/>
          <w:noProof/>
          <w:sz w:val="24"/>
          <w:szCs w:val="24"/>
        </w:rPr>
        <w:drawing>
          <wp:anchor distT="0" distB="0" distL="114300" distR="114300" simplePos="0" relativeHeight="251658240" behindDoc="0" locked="0" layoutInCell="1" allowOverlap="1" wp14:anchorId="2F9C1B74" wp14:editId="605E1149">
            <wp:simplePos x="0" y="0"/>
            <wp:positionH relativeFrom="column">
              <wp:posOffset>31750</wp:posOffset>
            </wp:positionH>
            <wp:positionV relativeFrom="paragraph">
              <wp:posOffset>441325</wp:posOffset>
            </wp:positionV>
            <wp:extent cx="5788660" cy="270510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8660" cy="2705100"/>
                    </a:xfrm>
                    <a:prstGeom prst="rect">
                      <a:avLst/>
                    </a:prstGeom>
                    <a:noFill/>
                  </pic:spPr>
                </pic:pic>
              </a:graphicData>
            </a:graphic>
            <wp14:sizeRelH relativeFrom="margin">
              <wp14:pctWidth>0</wp14:pctWidth>
            </wp14:sizeRelH>
            <wp14:sizeRelV relativeFrom="margin">
              <wp14:pctHeight>0</wp14:pctHeight>
            </wp14:sizeRelV>
          </wp:anchor>
        </w:drawing>
      </w:r>
    </w:p>
    <w:p w14:paraId="651B21A6" w14:textId="0706F710" w:rsidR="00642C96" w:rsidRDefault="00642C96" w:rsidP="6DC52871">
      <w:pPr>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094B691C" wp14:editId="22FA52FD">
                <wp:simplePos x="0" y="0"/>
                <wp:positionH relativeFrom="column">
                  <wp:posOffset>-31750</wp:posOffset>
                </wp:positionH>
                <wp:positionV relativeFrom="paragraph">
                  <wp:posOffset>3754755</wp:posOffset>
                </wp:positionV>
                <wp:extent cx="5943600" cy="177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43600" cy="177800"/>
                        </a:xfrm>
                        <a:prstGeom prst="rect">
                          <a:avLst/>
                        </a:prstGeom>
                        <a:solidFill>
                          <a:prstClr val="white"/>
                        </a:solidFill>
                        <a:ln>
                          <a:noFill/>
                        </a:ln>
                      </wps:spPr>
                      <wps:txbx>
                        <w:txbxContent>
                          <w:p w14:paraId="540E0F3A" w14:textId="533C5E50" w:rsidR="00642C96" w:rsidRPr="00CB24F5" w:rsidRDefault="00642C96" w:rsidP="00642C96">
                            <w:pPr>
                              <w:pStyle w:val="Caption"/>
                              <w:ind w:left="720" w:hanging="720"/>
                              <w:rPr>
                                <w:rFonts w:cstheme="minorHAnsi"/>
                                <w:b/>
                                <w:bCs/>
                                <w:noProof/>
                                <w:color w:val="auto"/>
                              </w:rPr>
                            </w:pPr>
                            <w:r w:rsidRPr="00CB24F5">
                              <w:rPr>
                                <w:rFonts w:cstheme="minorHAnsi"/>
                                <w:b/>
                                <w:bCs/>
                                <w:color w:val="auto"/>
                              </w:rPr>
                              <w:t xml:space="preserve">Table </w:t>
                            </w:r>
                            <w:r w:rsidRPr="00CB24F5">
                              <w:rPr>
                                <w:rFonts w:cstheme="minorHAnsi"/>
                                <w:b/>
                                <w:bCs/>
                                <w:color w:val="auto"/>
                              </w:rPr>
                              <w:fldChar w:fldCharType="begin"/>
                            </w:r>
                            <w:r w:rsidRPr="00CB24F5">
                              <w:rPr>
                                <w:rFonts w:cstheme="minorHAnsi"/>
                                <w:b/>
                                <w:bCs/>
                                <w:color w:val="auto"/>
                              </w:rPr>
                              <w:instrText xml:space="preserve"> SEQ Table \* ARABIC </w:instrText>
                            </w:r>
                            <w:r w:rsidRPr="00CB24F5">
                              <w:rPr>
                                <w:rFonts w:cstheme="minorHAnsi"/>
                                <w:b/>
                                <w:bCs/>
                                <w:color w:val="auto"/>
                              </w:rPr>
                              <w:fldChar w:fldCharType="separate"/>
                            </w:r>
                            <w:r w:rsidRPr="00CB24F5">
                              <w:rPr>
                                <w:rFonts w:cstheme="minorHAnsi"/>
                                <w:b/>
                                <w:bCs/>
                                <w:noProof/>
                                <w:color w:val="auto"/>
                              </w:rPr>
                              <w:t>1</w:t>
                            </w:r>
                            <w:r w:rsidRPr="00CB24F5">
                              <w:rPr>
                                <w:rFonts w:cstheme="minorHAnsi"/>
                                <w:b/>
                                <w:bCs/>
                                <w:color w:val="auto"/>
                              </w:rPr>
                              <w:fldChar w:fldCharType="end"/>
                            </w:r>
                            <w:r w:rsidRPr="00CB24F5">
                              <w:rPr>
                                <w:rFonts w:cstheme="minorHAnsi"/>
                                <w:b/>
                                <w:bCs/>
                                <w:color w:val="auto"/>
                              </w:rPr>
                              <w:t xml:space="preserve"> – Two-way ANOVA for genotype and treatment effects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B691C" id="Text Box 5" o:spid="_x0000_s1027" type="#_x0000_t202" style="position:absolute;margin-left:-2.5pt;margin-top:295.65pt;width:468pt;height: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" stroked="f">
                <v:textbox inset="0,0,0,0">
                  <w:txbxContent>
                    <w:p w14:paraId="540E0F3A" w14:textId="533C5E50" w:rsidR="00642C96" w:rsidRPr="00CB24F5" w:rsidRDefault="00642C96" w:rsidP="00642C96">
                      <w:pPr>
                        <w:pStyle w:val="Caption"/>
                        <w:ind w:left="720" w:hanging="720"/>
                        <w:rPr>
                          <w:rFonts w:cstheme="minorHAnsi"/>
                          <w:b/>
                          <w:bCs/>
                          <w:noProof/>
                          <w:color w:val="auto"/>
                        </w:rPr>
                      </w:pPr>
                      <w:r w:rsidRPr="00CB24F5">
                        <w:rPr>
                          <w:rFonts w:cstheme="minorHAnsi"/>
                          <w:b/>
                          <w:bCs/>
                          <w:color w:val="auto"/>
                        </w:rPr>
                        <w:t xml:space="preserve">Table </w:t>
                      </w:r>
                      <w:r w:rsidRPr="00CB24F5">
                        <w:rPr>
                          <w:rFonts w:cstheme="minorHAnsi"/>
                          <w:b/>
                          <w:bCs/>
                          <w:color w:val="auto"/>
                        </w:rPr>
                        <w:fldChar w:fldCharType="begin"/>
                      </w:r>
                      <w:r w:rsidRPr="00CB24F5">
                        <w:rPr>
                          <w:rFonts w:cstheme="minorHAnsi"/>
                          <w:b/>
                          <w:bCs/>
                          <w:color w:val="auto"/>
                        </w:rPr>
                        <w:instrText xml:space="preserve"> SEQ Table \* ARABIC </w:instrText>
                      </w:r>
                      <w:r w:rsidRPr="00CB24F5">
                        <w:rPr>
                          <w:rFonts w:cstheme="minorHAnsi"/>
                          <w:b/>
                          <w:bCs/>
                          <w:color w:val="auto"/>
                        </w:rPr>
                        <w:fldChar w:fldCharType="separate"/>
                      </w:r>
                      <w:r w:rsidRPr="00CB24F5">
                        <w:rPr>
                          <w:rFonts w:cstheme="minorHAnsi"/>
                          <w:b/>
                          <w:bCs/>
                          <w:noProof/>
                          <w:color w:val="auto"/>
                        </w:rPr>
                        <w:t>1</w:t>
                      </w:r>
                      <w:r w:rsidRPr="00CB24F5">
                        <w:rPr>
                          <w:rFonts w:cstheme="minorHAnsi"/>
                          <w:b/>
                          <w:bCs/>
                          <w:color w:val="auto"/>
                        </w:rPr>
                        <w:fldChar w:fldCharType="end"/>
                      </w:r>
                      <w:r w:rsidRPr="00CB24F5">
                        <w:rPr>
                          <w:rFonts w:cstheme="minorHAnsi"/>
                          <w:b/>
                          <w:bCs/>
                          <w:color w:val="auto"/>
                        </w:rPr>
                        <w:t xml:space="preserve"> – Two-way ANOVA for genotype and treatment effects</w:t>
                      </w:r>
                    </w:p>
                  </w:txbxContent>
                </v:textbox>
              </v:shape>
            </w:pict>
          </mc:Fallback>
        </mc:AlternateContent>
      </w:r>
    </w:p>
    <w:p w14:paraId="1D755636" w14:textId="58F493DE" w:rsidR="00642C96" w:rsidRDefault="0035282B" w:rsidP="6DC52871">
      <w:pPr>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0A4BF897" wp14:editId="0614ADD2">
                <wp:simplePos x="0" y="0"/>
                <wp:positionH relativeFrom="column">
                  <wp:posOffset>0</wp:posOffset>
                </wp:positionH>
                <wp:positionV relativeFrom="paragraph">
                  <wp:posOffset>1860550</wp:posOffset>
                </wp:positionV>
                <wp:extent cx="5943600" cy="1651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5943600" cy="165100"/>
                        </a:xfrm>
                        <a:prstGeom prst="rect">
                          <a:avLst/>
                        </a:prstGeom>
                        <a:solidFill>
                          <a:prstClr val="white"/>
                        </a:solidFill>
                        <a:ln>
                          <a:noFill/>
                        </a:ln>
                      </wps:spPr>
                      <wps:txbx>
                        <w:txbxContent>
                          <w:p w14:paraId="018F495F" w14:textId="07397A45" w:rsidR="00642C96" w:rsidRPr="00CB24F5" w:rsidRDefault="00642C96" w:rsidP="00642C96">
                            <w:pPr>
                              <w:pStyle w:val="Caption"/>
                              <w:rPr>
                                <w:rFonts w:cstheme="minorHAnsi"/>
                                <w:b/>
                                <w:bCs/>
                                <w:noProof/>
                                <w:color w:val="auto"/>
                              </w:rPr>
                            </w:pPr>
                            <w:r w:rsidRPr="00CB24F5">
                              <w:rPr>
                                <w:rFonts w:cstheme="minorHAnsi"/>
                                <w:b/>
                                <w:bCs/>
                                <w:color w:val="auto"/>
                              </w:rPr>
                              <w:t xml:space="preserve">Table </w:t>
                            </w:r>
                            <w:r w:rsidRPr="00CB24F5">
                              <w:rPr>
                                <w:rFonts w:cstheme="minorHAnsi"/>
                                <w:b/>
                                <w:bCs/>
                                <w:color w:val="auto"/>
                              </w:rPr>
                              <w:fldChar w:fldCharType="begin"/>
                            </w:r>
                            <w:r w:rsidRPr="00CB24F5">
                              <w:rPr>
                                <w:rFonts w:cstheme="minorHAnsi"/>
                                <w:b/>
                                <w:bCs/>
                                <w:color w:val="auto"/>
                              </w:rPr>
                              <w:instrText xml:space="preserve"> SEQ Table \* ARABIC </w:instrText>
                            </w:r>
                            <w:r w:rsidRPr="00CB24F5">
                              <w:rPr>
                                <w:rFonts w:cstheme="minorHAnsi"/>
                                <w:b/>
                                <w:bCs/>
                                <w:color w:val="auto"/>
                              </w:rPr>
                              <w:fldChar w:fldCharType="separate"/>
                            </w:r>
                            <w:r w:rsidRPr="00CB24F5">
                              <w:rPr>
                                <w:rFonts w:cstheme="minorHAnsi"/>
                                <w:b/>
                                <w:bCs/>
                                <w:noProof/>
                                <w:color w:val="auto"/>
                              </w:rPr>
                              <w:t>2</w:t>
                            </w:r>
                            <w:r w:rsidRPr="00CB24F5">
                              <w:rPr>
                                <w:rFonts w:cstheme="minorHAnsi"/>
                                <w:b/>
                                <w:bCs/>
                                <w:color w:val="auto"/>
                              </w:rPr>
                              <w:fldChar w:fldCharType="end"/>
                            </w:r>
                            <w:r w:rsidRPr="00CB24F5">
                              <w:rPr>
                                <w:rFonts w:cstheme="minorHAnsi"/>
                                <w:b/>
                                <w:bCs/>
                                <w:color w:val="auto"/>
                              </w:rPr>
                              <w:t xml:space="preserve"> – Pairwise comparisons </w:t>
                            </w:r>
                            <w:r w:rsidR="0035282B" w:rsidRPr="00CB24F5">
                              <w:rPr>
                                <w:rFonts w:cstheme="minorHAnsi"/>
                                <w:b/>
                                <w:bCs/>
                                <w:color w:val="auto"/>
                              </w:rPr>
                              <w:t>between single-species, multi-</w:t>
                            </w:r>
                            <w:proofErr w:type="gramStart"/>
                            <w:r w:rsidR="0035282B" w:rsidRPr="00CB24F5">
                              <w:rPr>
                                <w:rFonts w:cstheme="minorHAnsi"/>
                                <w:b/>
                                <w:bCs/>
                                <w:color w:val="auto"/>
                              </w:rPr>
                              <w:t>species</w:t>
                            </w:r>
                            <w:proofErr w:type="gramEnd"/>
                            <w:r w:rsidR="0035282B" w:rsidRPr="00CB24F5">
                              <w:rPr>
                                <w:rFonts w:cstheme="minorHAnsi"/>
                                <w:b/>
                                <w:bCs/>
                                <w:color w:val="auto"/>
                              </w:rPr>
                              <w:t xml:space="preserve"> and control treatments (dpi = days post inoculation)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BF897" id="Text Box 6" o:spid="_x0000_s1028" type="#_x0000_t202" style="position:absolute;margin-left:0;margin-top:146.5pt;width:468pt;height:1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" stroked="f">
                <v:textbox inset="0,0,0,0">
                  <w:txbxContent>
                    <w:p w14:paraId="018F495F" w14:textId="07397A45" w:rsidR="00642C96" w:rsidRPr="00CB24F5" w:rsidRDefault="00642C96" w:rsidP="00642C96">
                      <w:pPr>
                        <w:pStyle w:val="Caption"/>
                        <w:rPr>
                          <w:rFonts w:cstheme="minorHAnsi"/>
                          <w:b/>
                          <w:bCs/>
                          <w:noProof/>
                          <w:color w:val="auto"/>
                        </w:rPr>
                      </w:pPr>
                      <w:r w:rsidRPr="00CB24F5">
                        <w:rPr>
                          <w:rFonts w:cstheme="minorHAnsi"/>
                          <w:b/>
                          <w:bCs/>
                          <w:color w:val="auto"/>
                        </w:rPr>
                        <w:t xml:space="preserve">Table </w:t>
                      </w:r>
                      <w:r w:rsidRPr="00CB24F5">
                        <w:rPr>
                          <w:rFonts w:cstheme="minorHAnsi"/>
                          <w:b/>
                          <w:bCs/>
                          <w:color w:val="auto"/>
                        </w:rPr>
                        <w:fldChar w:fldCharType="begin"/>
                      </w:r>
                      <w:r w:rsidRPr="00CB24F5">
                        <w:rPr>
                          <w:rFonts w:cstheme="minorHAnsi"/>
                          <w:b/>
                          <w:bCs/>
                          <w:color w:val="auto"/>
                        </w:rPr>
                        <w:instrText xml:space="preserve"> SEQ Table \* ARABIC </w:instrText>
                      </w:r>
                      <w:r w:rsidRPr="00CB24F5">
                        <w:rPr>
                          <w:rFonts w:cstheme="minorHAnsi"/>
                          <w:b/>
                          <w:bCs/>
                          <w:color w:val="auto"/>
                        </w:rPr>
                        <w:fldChar w:fldCharType="separate"/>
                      </w:r>
                      <w:r w:rsidRPr="00CB24F5">
                        <w:rPr>
                          <w:rFonts w:cstheme="minorHAnsi"/>
                          <w:b/>
                          <w:bCs/>
                          <w:noProof/>
                          <w:color w:val="auto"/>
                        </w:rPr>
                        <w:t>2</w:t>
                      </w:r>
                      <w:r w:rsidRPr="00CB24F5">
                        <w:rPr>
                          <w:rFonts w:cstheme="minorHAnsi"/>
                          <w:b/>
                          <w:bCs/>
                          <w:color w:val="auto"/>
                        </w:rPr>
                        <w:fldChar w:fldCharType="end"/>
                      </w:r>
                      <w:r w:rsidRPr="00CB24F5">
                        <w:rPr>
                          <w:rFonts w:cstheme="minorHAnsi"/>
                          <w:b/>
                          <w:bCs/>
                          <w:color w:val="auto"/>
                        </w:rPr>
                        <w:t xml:space="preserve"> – Pairwise comparisons </w:t>
                      </w:r>
                      <w:r w:rsidR="0035282B" w:rsidRPr="00CB24F5">
                        <w:rPr>
                          <w:rFonts w:cstheme="minorHAnsi"/>
                          <w:b/>
                          <w:bCs/>
                          <w:color w:val="auto"/>
                        </w:rPr>
                        <w:t>between single-species, multi-</w:t>
                      </w:r>
                      <w:proofErr w:type="gramStart"/>
                      <w:r w:rsidR="0035282B" w:rsidRPr="00CB24F5">
                        <w:rPr>
                          <w:rFonts w:cstheme="minorHAnsi"/>
                          <w:b/>
                          <w:bCs/>
                          <w:color w:val="auto"/>
                        </w:rPr>
                        <w:t>species</w:t>
                      </w:r>
                      <w:proofErr w:type="gramEnd"/>
                      <w:r w:rsidR="0035282B" w:rsidRPr="00CB24F5">
                        <w:rPr>
                          <w:rFonts w:cstheme="minorHAnsi"/>
                          <w:b/>
                          <w:bCs/>
                          <w:color w:val="auto"/>
                        </w:rPr>
                        <w:t xml:space="preserve"> and control treatments (dpi = days post inoculation)</w:t>
                      </w:r>
                    </w:p>
                  </w:txbxContent>
                </v:textbox>
              </v:shape>
            </w:pict>
          </mc:Fallback>
        </mc:AlternateContent>
      </w:r>
      <w:r w:rsidR="00642C96" w:rsidRPr="00642C96">
        <w:rPr>
          <w:rFonts w:ascii="Times New Roman" w:hAnsi="Times New Roman" w:cs="Times New Roman"/>
          <w:noProof/>
        </w:rPr>
        <w:drawing>
          <wp:anchor distT="0" distB="0" distL="114300" distR="114300" simplePos="0" relativeHeight="251663360" behindDoc="0" locked="0" layoutInCell="1" allowOverlap="1" wp14:anchorId="4A5308F4" wp14:editId="7BD6B2EC">
            <wp:simplePos x="0" y="0"/>
            <wp:positionH relativeFrom="column">
              <wp:posOffset>-32385</wp:posOffset>
            </wp:positionH>
            <wp:positionV relativeFrom="paragraph">
              <wp:posOffset>146050</wp:posOffset>
            </wp:positionV>
            <wp:extent cx="5943600" cy="149415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stretch>
                      <a:fillRect/>
                    </a:stretch>
                  </pic:blipFill>
                  <pic:spPr>
                    <a:xfrm>
                      <a:off x="0" y="0"/>
                      <a:ext cx="5943600" cy="1494155"/>
                    </a:xfrm>
                    <a:prstGeom prst="rect">
                      <a:avLst/>
                    </a:prstGeom>
                    <a:solidFill>
                      <a:schemeClr val="bg1">
                        <a:alpha val="80000"/>
                      </a:schemeClr>
                    </a:solidFill>
                  </pic:spPr>
                </pic:pic>
              </a:graphicData>
            </a:graphic>
            <wp14:sizeRelH relativeFrom="margin">
              <wp14:pctWidth>0</wp14:pctWidth>
            </wp14:sizeRelH>
            <wp14:sizeRelV relativeFrom="margin">
              <wp14:pctHeight>0</wp14:pctHeight>
            </wp14:sizeRelV>
          </wp:anchor>
        </w:drawing>
      </w:r>
      <w:r w:rsidR="00642C96" w:rsidRPr="00642C96">
        <w:rPr>
          <w:rFonts w:ascii="Times New Roman" w:hAnsi="Times New Roman" w:cs="Times New Roman"/>
          <w:noProof/>
        </w:rPr>
        <w:drawing>
          <wp:anchor distT="0" distB="0" distL="114300" distR="114300" simplePos="0" relativeHeight="251662336" behindDoc="0" locked="0" layoutInCell="1" allowOverlap="1" wp14:anchorId="3395F0FE" wp14:editId="74D7F2F8">
            <wp:simplePos x="0" y="0"/>
            <wp:positionH relativeFrom="column">
              <wp:posOffset>0</wp:posOffset>
            </wp:positionH>
            <wp:positionV relativeFrom="paragraph">
              <wp:posOffset>2037715</wp:posOffset>
            </wp:positionV>
            <wp:extent cx="5943600" cy="15119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511935"/>
                    </a:xfrm>
                    <a:prstGeom prst="rect">
                      <a:avLst/>
                    </a:prstGeom>
                    <a:solidFill>
                      <a:schemeClr val="bg1">
                        <a:alpha val="80000"/>
                      </a:schemeClr>
                    </a:solidFill>
                  </pic:spPr>
                </pic:pic>
              </a:graphicData>
            </a:graphic>
          </wp:anchor>
        </w:drawing>
      </w:r>
    </w:p>
    <w:sectPr w:rsidR="00642C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B7"/>
    <w:rsid w:val="0002569A"/>
    <w:rsid w:val="00052F80"/>
    <w:rsid w:val="000C72D6"/>
    <w:rsid w:val="00186C0E"/>
    <w:rsid w:val="00232037"/>
    <w:rsid w:val="002339DE"/>
    <w:rsid w:val="00271ECC"/>
    <w:rsid w:val="00334E0A"/>
    <w:rsid w:val="0035282B"/>
    <w:rsid w:val="00510C98"/>
    <w:rsid w:val="00533FE9"/>
    <w:rsid w:val="00537E92"/>
    <w:rsid w:val="005A65E5"/>
    <w:rsid w:val="00642C96"/>
    <w:rsid w:val="00706DA8"/>
    <w:rsid w:val="00741144"/>
    <w:rsid w:val="00747E04"/>
    <w:rsid w:val="007F3B95"/>
    <w:rsid w:val="00837A5C"/>
    <w:rsid w:val="00854232"/>
    <w:rsid w:val="009A1A9D"/>
    <w:rsid w:val="00A411EC"/>
    <w:rsid w:val="00AB7585"/>
    <w:rsid w:val="00BB73B7"/>
    <w:rsid w:val="00BE68B1"/>
    <w:rsid w:val="00CB24F5"/>
    <w:rsid w:val="00D23C1C"/>
    <w:rsid w:val="00E56BF1"/>
    <w:rsid w:val="00EC2130"/>
    <w:rsid w:val="6DC52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266D"/>
  <w15:chartTrackingRefBased/>
  <w15:docId w15:val="{E226C127-0C0A-42A4-8BC0-099C2CBA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B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E68B1"/>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Hudson</dc:creator>
  <cp:keywords/>
  <dc:description/>
  <cp:lastModifiedBy>Kerin Hudson</cp:lastModifiedBy>
  <cp:revision>2</cp:revision>
  <dcterms:created xsi:type="dcterms:W3CDTF">2021-11-05T18:59:00Z</dcterms:created>
  <dcterms:modified xsi:type="dcterms:W3CDTF">2021-11-05T18:59:00Z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id="XTQxHHYg"/&gt;&lt;style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